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E2F" w14:textId="2381E93C" w:rsidR="003B3362" w:rsidRPr="00813747" w:rsidRDefault="003B3362" w:rsidP="003B3362">
      <w:pPr>
        <w:spacing w:after="0" w:line="240" w:lineRule="auto"/>
        <w:ind w:right="4"/>
        <w:jc w:val="center"/>
        <w:rPr>
          <w:rFonts w:ascii="Cambria" w:hAnsi="Cambria"/>
          <w:color w:val="000000" w:themeColor="text1"/>
          <w:lang w:val="es-419"/>
        </w:rPr>
      </w:pPr>
      <w:r w:rsidRPr="00813747">
        <w:rPr>
          <w:rFonts w:ascii="Cambria" w:hAnsi="Cambria"/>
          <w:b/>
          <w:color w:val="000000" w:themeColor="text1"/>
          <w:lang w:val="es-419"/>
        </w:rPr>
        <w:t>FICHA TÉCNICA INFORMATIVA</w:t>
      </w:r>
    </w:p>
    <w:p w14:paraId="260E5D46" w14:textId="78717A69" w:rsidR="003B3362" w:rsidRPr="00813747" w:rsidRDefault="000F6AC8" w:rsidP="003B3362">
      <w:pPr>
        <w:spacing w:after="0" w:line="240" w:lineRule="auto"/>
        <w:ind w:right="4"/>
        <w:jc w:val="center"/>
        <w:rPr>
          <w:rFonts w:ascii="Cambria" w:eastAsia="Batang" w:hAnsi="Cambria"/>
          <w:b/>
          <w:color w:val="000000" w:themeColor="text1"/>
          <w:lang w:val="es-419" w:eastAsia="es-ES_tradnl"/>
        </w:rPr>
      </w:pPr>
      <w:r w:rsidRPr="00813747">
        <w:rPr>
          <w:rFonts w:ascii="Cambria" w:eastAsia="Batang" w:hAnsi="Cambria"/>
          <w:b/>
          <w:color w:val="000000" w:themeColor="text1"/>
          <w:lang w:val="es-419" w:eastAsia="es-ES_tradnl"/>
        </w:rPr>
        <w:t>PETICIÓ</w:t>
      </w:r>
      <w:r w:rsidR="005E7D95" w:rsidRPr="00813747">
        <w:rPr>
          <w:rFonts w:ascii="Cambria" w:eastAsia="Batang" w:hAnsi="Cambria"/>
          <w:b/>
          <w:color w:val="000000" w:themeColor="text1"/>
          <w:lang w:val="es-419" w:eastAsia="es-ES_tradnl"/>
        </w:rPr>
        <w:t>N</w:t>
      </w:r>
      <w:r w:rsidRPr="00813747">
        <w:rPr>
          <w:rFonts w:ascii="Cambria" w:eastAsia="Batang" w:hAnsi="Cambria"/>
          <w:b/>
          <w:color w:val="000000" w:themeColor="text1"/>
          <w:lang w:val="es-419" w:eastAsia="es-ES_tradnl"/>
        </w:rPr>
        <w:t xml:space="preserve"> </w:t>
      </w:r>
      <w:r w:rsidR="004E4DA5" w:rsidRPr="00813747">
        <w:rPr>
          <w:rFonts w:ascii="Cambria" w:eastAsia="Batang" w:hAnsi="Cambria"/>
          <w:b/>
          <w:color w:val="000000" w:themeColor="text1"/>
          <w:lang w:val="es-419" w:eastAsia="es-ES_tradnl"/>
        </w:rPr>
        <w:t>595-09 JORGE ALBERTO MONTES GALLEGO Y FAMILIA</w:t>
      </w:r>
    </w:p>
    <w:p w14:paraId="101D0500" w14:textId="0D7B0DFB" w:rsidR="003B3362" w:rsidRPr="00813747" w:rsidRDefault="003B3362" w:rsidP="003B3362">
      <w:pPr>
        <w:spacing w:after="0" w:line="240" w:lineRule="auto"/>
        <w:ind w:right="4"/>
        <w:jc w:val="center"/>
        <w:rPr>
          <w:rFonts w:ascii="Cambria" w:eastAsia="Batang" w:hAnsi="Cambria"/>
          <w:b/>
          <w:color w:val="000000" w:themeColor="text1"/>
          <w:lang w:val="es-419" w:eastAsia="es-ES_tradnl"/>
        </w:rPr>
      </w:pPr>
      <w:r w:rsidRPr="00813747">
        <w:rPr>
          <w:rFonts w:ascii="Cambria" w:eastAsia="Batang" w:hAnsi="Cambria"/>
          <w:b/>
          <w:color w:val="000000" w:themeColor="text1"/>
          <w:lang w:val="es-419"/>
        </w:rPr>
        <w:t>INFORME DE SOLUCIÓN AMISTOSA No.</w:t>
      </w:r>
      <w:r w:rsidR="00A56234" w:rsidRPr="00813747">
        <w:rPr>
          <w:rFonts w:ascii="Cambria" w:eastAsia="Batang" w:hAnsi="Cambria"/>
          <w:b/>
          <w:color w:val="000000" w:themeColor="text1"/>
          <w:lang w:val="es-419"/>
        </w:rPr>
        <w:t xml:space="preserve"> </w:t>
      </w:r>
      <w:bookmarkStart w:id="0" w:name="_Hlk162954601"/>
      <w:r w:rsidR="004E4DA5" w:rsidRPr="00813747">
        <w:rPr>
          <w:rFonts w:ascii="Cambria" w:eastAsia="Batang" w:hAnsi="Cambria"/>
          <w:b/>
          <w:bCs/>
          <w:lang w:val="es-419"/>
        </w:rPr>
        <w:fldChar w:fldCharType="begin"/>
      </w:r>
      <w:r w:rsidR="004E4DA5" w:rsidRPr="00813747">
        <w:rPr>
          <w:rFonts w:ascii="Cambria" w:eastAsia="Batang" w:hAnsi="Cambria"/>
          <w:b/>
          <w:bCs/>
          <w:lang w:val="es-419"/>
        </w:rPr>
        <w:instrText>HYPERLINK "https://www.oas.org/es/cidh/decisiones/2020/cosa595-09es.pdf"</w:instrText>
      </w:r>
      <w:r w:rsidR="004E4DA5" w:rsidRPr="00813747">
        <w:rPr>
          <w:rFonts w:ascii="Cambria" w:eastAsia="Batang" w:hAnsi="Cambria"/>
          <w:b/>
          <w:bCs/>
          <w:lang w:val="es-419"/>
        </w:rPr>
      </w:r>
      <w:r w:rsidR="004E4DA5" w:rsidRPr="00813747">
        <w:rPr>
          <w:rFonts w:ascii="Cambria" w:eastAsia="Batang" w:hAnsi="Cambria"/>
          <w:b/>
          <w:bCs/>
          <w:lang w:val="es-419"/>
        </w:rPr>
        <w:fldChar w:fldCharType="separate"/>
      </w:r>
      <w:r w:rsidR="004E4DA5" w:rsidRPr="00813747">
        <w:rPr>
          <w:rStyle w:val="Hyperlink"/>
          <w:rFonts w:ascii="Cambria" w:eastAsia="Batang" w:hAnsi="Cambria"/>
          <w:b/>
          <w:bCs/>
          <w:lang w:val="es-419"/>
        </w:rPr>
        <w:t>84</w:t>
      </w:r>
      <w:r w:rsidRPr="00813747">
        <w:rPr>
          <w:rStyle w:val="Hyperlink"/>
          <w:rFonts w:ascii="Cambria" w:eastAsia="Batang" w:hAnsi="Cambria"/>
          <w:b/>
          <w:bCs/>
          <w:lang w:val="es-419"/>
        </w:rPr>
        <w:t>/</w:t>
      </w:r>
      <w:r w:rsidR="004E4DA5" w:rsidRPr="00813747">
        <w:rPr>
          <w:rStyle w:val="Hyperlink"/>
          <w:rFonts w:ascii="Cambria" w:eastAsia="Batang" w:hAnsi="Cambria"/>
          <w:b/>
          <w:bCs/>
          <w:lang w:val="es-419"/>
        </w:rPr>
        <w:t>20</w:t>
      </w:r>
      <w:bookmarkEnd w:id="0"/>
      <w:r w:rsidR="004E4DA5" w:rsidRPr="00813747">
        <w:rPr>
          <w:rFonts w:ascii="Cambria" w:eastAsia="Batang" w:hAnsi="Cambria"/>
          <w:b/>
          <w:bCs/>
          <w:lang w:val="es-419"/>
        </w:rPr>
        <w:fldChar w:fldCharType="end"/>
      </w:r>
    </w:p>
    <w:p w14:paraId="445577D0" w14:textId="77777777" w:rsidR="003B3362" w:rsidRPr="00813747" w:rsidRDefault="003B3362" w:rsidP="003B3362">
      <w:pPr>
        <w:spacing w:after="0" w:line="240" w:lineRule="auto"/>
        <w:ind w:right="4"/>
        <w:jc w:val="center"/>
        <w:rPr>
          <w:rFonts w:ascii="Cambria" w:eastAsia="Batang" w:hAnsi="Cambria"/>
          <w:b/>
          <w:color w:val="000000" w:themeColor="text1"/>
          <w:lang w:val="es-419"/>
        </w:rPr>
      </w:pPr>
      <w:r w:rsidRPr="00813747">
        <w:rPr>
          <w:rFonts w:ascii="Cambria" w:eastAsia="Batang" w:hAnsi="Cambria"/>
          <w:b/>
          <w:color w:val="000000" w:themeColor="text1"/>
          <w:lang w:val="es-419"/>
        </w:rPr>
        <w:t>CUMPLIMIENTO TOTAL</w:t>
      </w:r>
    </w:p>
    <w:p w14:paraId="1DE243DA" w14:textId="71D42DBC" w:rsidR="003B3362" w:rsidRPr="00813747" w:rsidRDefault="003B3362" w:rsidP="003B3362">
      <w:pPr>
        <w:spacing w:after="0" w:line="240" w:lineRule="auto"/>
        <w:ind w:right="4"/>
        <w:jc w:val="center"/>
        <w:rPr>
          <w:rFonts w:ascii="Cambria" w:eastAsia="Batang" w:hAnsi="Cambria"/>
          <w:b/>
          <w:color w:val="000000" w:themeColor="text1"/>
          <w:lang w:val="es-419"/>
        </w:rPr>
      </w:pPr>
      <w:r w:rsidRPr="00813747">
        <w:rPr>
          <w:rFonts w:ascii="Cambria" w:eastAsia="Batang" w:hAnsi="Cambria"/>
          <w:b/>
          <w:color w:val="000000" w:themeColor="text1"/>
          <w:lang w:val="es-419"/>
        </w:rPr>
        <w:t>(</w:t>
      </w:r>
      <w:r w:rsidR="004E4DA5" w:rsidRPr="00813747">
        <w:rPr>
          <w:rFonts w:ascii="Cambria" w:eastAsia="Batang" w:hAnsi="Cambria"/>
          <w:b/>
          <w:color w:val="000000" w:themeColor="text1"/>
          <w:lang w:val="es-419"/>
        </w:rPr>
        <w:t>COLOMBIA</w:t>
      </w:r>
      <w:r w:rsidRPr="00813747">
        <w:rPr>
          <w:rFonts w:ascii="Cambria" w:eastAsia="Batang" w:hAnsi="Cambria"/>
          <w:b/>
          <w:color w:val="000000" w:themeColor="text1"/>
          <w:lang w:val="es-419"/>
        </w:rPr>
        <w:t>)</w:t>
      </w:r>
    </w:p>
    <w:p w14:paraId="0C51BB25" w14:textId="77777777" w:rsidR="003B3362" w:rsidRPr="00813747" w:rsidRDefault="003B3362" w:rsidP="003B3362">
      <w:pPr>
        <w:spacing w:after="0" w:line="240" w:lineRule="auto"/>
        <w:jc w:val="center"/>
        <w:rPr>
          <w:rFonts w:ascii="Cambria" w:eastAsia="Batang" w:hAnsi="Cambria"/>
          <w:b/>
          <w:color w:val="080808"/>
          <w:lang w:val="es-419"/>
        </w:rPr>
      </w:pPr>
    </w:p>
    <w:p w14:paraId="36852FB7" w14:textId="77777777" w:rsidR="003B3362" w:rsidRPr="00813747" w:rsidRDefault="003B3362" w:rsidP="003B3362">
      <w:pPr>
        <w:numPr>
          <w:ilvl w:val="0"/>
          <w:numId w:val="37"/>
        </w:numPr>
        <w:spacing w:after="0" w:line="240" w:lineRule="auto"/>
        <w:ind w:left="0" w:firstLine="709"/>
        <w:rPr>
          <w:rFonts w:ascii="Cambria" w:eastAsia="Batang" w:hAnsi="Cambria"/>
          <w:b/>
          <w:color w:val="080808"/>
          <w:lang w:val="es-419"/>
        </w:rPr>
      </w:pPr>
      <w:r w:rsidRPr="00813747">
        <w:rPr>
          <w:rFonts w:ascii="Cambria" w:eastAsia="Batang" w:hAnsi="Cambria" w:cs="Calibri Light"/>
          <w:b/>
          <w:color w:val="080808"/>
          <w:lang w:val="es-419"/>
        </w:rPr>
        <w:t xml:space="preserve">RESUMEN DEL CASO </w:t>
      </w:r>
    </w:p>
    <w:p w14:paraId="2E845EF1" w14:textId="77777777" w:rsidR="003B3362" w:rsidRPr="00813747" w:rsidRDefault="003B3362" w:rsidP="003B3362">
      <w:pPr>
        <w:spacing w:after="0" w:line="240" w:lineRule="auto"/>
        <w:jc w:val="both"/>
        <w:rPr>
          <w:rFonts w:ascii="Cambria" w:eastAsia="Batang" w:hAnsi="Cambria" w:cs="Calibri Light"/>
          <w:b/>
          <w:color w:val="080808"/>
          <w:lang w:val="es-419"/>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555DAB" w14:paraId="78B6CDC5" w14:textId="77777777" w:rsidTr="004E4DA5">
        <w:trPr>
          <w:trHeight w:val="1079"/>
        </w:trPr>
        <w:tc>
          <w:tcPr>
            <w:tcW w:w="9377" w:type="dxa"/>
            <w:shd w:val="clear" w:color="auto" w:fill="F2F2F2"/>
          </w:tcPr>
          <w:p w14:paraId="273B06C3" w14:textId="56B6FE18" w:rsidR="003B3362" w:rsidRPr="00555DAB" w:rsidRDefault="003B3362" w:rsidP="00F024F0">
            <w:pPr>
              <w:spacing w:after="0" w:line="240" w:lineRule="auto"/>
              <w:jc w:val="both"/>
              <w:rPr>
                <w:rFonts w:ascii="Cambria" w:eastAsia="Batang" w:hAnsi="Cambria"/>
                <w:b/>
                <w:color w:val="080808"/>
                <w:sz w:val="20"/>
                <w:szCs w:val="20"/>
                <w:lang w:val="es-419"/>
              </w:rPr>
            </w:pPr>
            <w:r w:rsidRPr="00555DAB">
              <w:rPr>
                <w:rFonts w:ascii="Cambria" w:eastAsia="Batang" w:hAnsi="Cambria"/>
                <w:b/>
                <w:color w:val="080808"/>
                <w:sz w:val="20"/>
                <w:szCs w:val="20"/>
                <w:lang w:val="es-419"/>
              </w:rPr>
              <w:t>Víctima (s):</w:t>
            </w:r>
            <w:r w:rsidR="004E4DA5" w:rsidRPr="00555DAB">
              <w:rPr>
                <w:rFonts w:ascii="Cambria" w:eastAsia="Batang" w:hAnsi="Cambria"/>
                <w:b/>
                <w:color w:val="080808"/>
                <w:sz w:val="20"/>
                <w:szCs w:val="20"/>
                <w:lang w:val="es-419"/>
              </w:rPr>
              <w:t xml:space="preserve"> </w:t>
            </w:r>
            <w:r w:rsidR="004E4DA5" w:rsidRPr="00555DAB">
              <w:rPr>
                <w:rFonts w:ascii="Cambria" w:eastAsia="Batang" w:hAnsi="Cambria"/>
                <w:bCs/>
                <w:color w:val="080808"/>
                <w:sz w:val="20"/>
                <w:szCs w:val="20"/>
                <w:lang w:val="es-419"/>
              </w:rPr>
              <w:t>Jorge Alberto Montes Gallego y Familia</w:t>
            </w:r>
          </w:p>
          <w:p w14:paraId="1E7F3E0F" w14:textId="68F692B0" w:rsidR="003B3362" w:rsidRPr="00555DAB" w:rsidRDefault="003B3362" w:rsidP="004E4DA5">
            <w:pPr>
              <w:tabs>
                <w:tab w:val="left" w:pos="2110"/>
              </w:tabs>
              <w:spacing w:after="0" w:line="240" w:lineRule="auto"/>
              <w:jc w:val="both"/>
              <w:rPr>
                <w:rFonts w:ascii="Cambria" w:eastAsia="Batang" w:hAnsi="Cambria"/>
                <w:b/>
                <w:bCs/>
                <w:color w:val="080808"/>
                <w:sz w:val="20"/>
                <w:szCs w:val="20"/>
                <w:lang w:val="es-419"/>
              </w:rPr>
            </w:pPr>
            <w:r w:rsidRPr="00555DAB">
              <w:rPr>
                <w:rFonts w:ascii="Cambria" w:eastAsia="Batang" w:hAnsi="Cambria"/>
                <w:b/>
                <w:color w:val="080808"/>
                <w:sz w:val="20"/>
                <w:szCs w:val="20"/>
                <w:lang w:val="es-419"/>
              </w:rPr>
              <w:t xml:space="preserve">Peticionario (s): </w:t>
            </w:r>
            <w:r w:rsidR="004E4DA5" w:rsidRPr="00555DAB">
              <w:rPr>
                <w:rFonts w:ascii="Cambria" w:eastAsia="Batang" w:hAnsi="Cambria"/>
                <w:color w:val="080808"/>
                <w:sz w:val="20"/>
                <w:szCs w:val="20"/>
                <w:lang w:val="es-419"/>
              </w:rPr>
              <w:t>Miguel Piñeros Rey</w:t>
            </w:r>
            <w:r w:rsidR="004E4DA5" w:rsidRPr="00555DAB">
              <w:rPr>
                <w:rFonts w:ascii="Cambria" w:eastAsia="Batang" w:hAnsi="Cambria"/>
                <w:b/>
                <w:bCs/>
                <w:color w:val="080808"/>
                <w:sz w:val="20"/>
                <w:szCs w:val="20"/>
                <w:lang w:val="es-419"/>
              </w:rPr>
              <w:t xml:space="preserve"> </w:t>
            </w:r>
          </w:p>
          <w:p w14:paraId="127C896A" w14:textId="25F88254" w:rsidR="003B3362" w:rsidRPr="00555DAB" w:rsidRDefault="003B3362" w:rsidP="00F024F0">
            <w:pPr>
              <w:spacing w:after="0" w:line="240" w:lineRule="auto"/>
              <w:jc w:val="both"/>
              <w:rPr>
                <w:rFonts w:ascii="Cambria" w:eastAsia="Batang" w:hAnsi="Cambria"/>
                <w:b/>
                <w:color w:val="080808"/>
                <w:sz w:val="20"/>
                <w:szCs w:val="20"/>
                <w:lang w:val="es-419"/>
              </w:rPr>
            </w:pPr>
            <w:r w:rsidRPr="00555DAB">
              <w:rPr>
                <w:rFonts w:ascii="Cambria" w:eastAsia="Batang" w:hAnsi="Cambria"/>
                <w:b/>
                <w:color w:val="080808"/>
                <w:sz w:val="20"/>
                <w:szCs w:val="20"/>
                <w:lang w:val="es-419"/>
              </w:rPr>
              <w:t>Estado:</w:t>
            </w:r>
            <w:r w:rsidRPr="00555DAB">
              <w:rPr>
                <w:rFonts w:ascii="Cambria" w:eastAsia="Batang" w:hAnsi="Cambria"/>
                <w:bCs/>
                <w:color w:val="080808"/>
                <w:sz w:val="20"/>
                <w:szCs w:val="20"/>
                <w:lang w:val="es-419"/>
              </w:rPr>
              <w:t xml:space="preserve"> </w:t>
            </w:r>
            <w:r w:rsidR="004E4DA5" w:rsidRPr="00555DAB">
              <w:rPr>
                <w:rFonts w:ascii="Cambria" w:eastAsia="Batang" w:hAnsi="Cambria"/>
                <w:bCs/>
                <w:color w:val="080808"/>
                <w:sz w:val="20"/>
                <w:szCs w:val="20"/>
                <w:lang w:val="es-419"/>
              </w:rPr>
              <w:t>Colombia</w:t>
            </w:r>
          </w:p>
          <w:p w14:paraId="4EB05151" w14:textId="4E0680D2" w:rsidR="003B3362" w:rsidRPr="00555DAB" w:rsidRDefault="003B3362" w:rsidP="00F024F0">
            <w:pPr>
              <w:spacing w:after="0" w:line="240" w:lineRule="auto"/>
              <w:jc w:val="both"/>
              <w:rPr>
                <w:rFonts w:ascii="Cambria" w:eastAsia="Batang" w:hAnsi="Cambria"/>
                <w:b/>
                <w:color w:val="080808"/>
                <w:sz w:val="20"/>
                <w:szCs w:val="20"/>
                <w:lang w:val="es-419"/>
              </w:rPr>
            </w:pPr>
            <w:r w:rsidRPr="00555DAB">
              <w:rPr>
                <w:rFonts w:ascii="Cambria" w:eastAsia="Batang" w:hAnsi="Cambria"/>
                <w:b/>
                <w:bCs/>
                <w:color w:val="080808"/>
                <w:sz w:val="20"/>
                <w:szCs w:val="20"/>
                <w:lang w:val="es-419"/>
              </w:rPr>
              <w:t xml:space="preserve">Fecha de inicio de las negociaciones: </w:t>
            </w:r>
            <w:r w:rsidR="004E4DA5" w:rsidRPr="00555DAB">
              <w:rPr>
                <w:rFonts w:ascii="Cambria" w:eastAsia="Batang" w:hAnsi="Cambria"/>
                <w:color w:val="080808"/>
                <w:sz w:val="20"/>
                <w:szCs w:val="20"/>
                <w:lang w:val="es-419"/>
              </w:rPr>
              <w:t>26 de agosto de 2019</w:t>
            </w:r>
          </w:p>
          <w:p w14:paraId="5D2C77E6" w14:textId="35BA873F" w:rsidR="003B3362" w:rsidRPr="00555DAB" w:rsidRDefault="003B3362" w:rsidP="00F024F0">
            <w:pPr>
              <w:spacing w:after="0" w:line="240" w:lineRule="auto"/>
              <w:jc w:val="both"/>
              <w:rPr>
                <w:rFonts w:ascii="Cambria" w:eastAsia="Batang" w:hAnsi="Cambria"/>
                <w:bCs/>
                <w:color w:val="080808"/>
                <w:sz w:val="20"/>
                <w:szCs w:val="20"/>
                <w:lang w:val="es-419"/>
              </w:rPr>
            </w:pPr>
            <w:r w:rsidRPr="00555DAB">
              <w:rPr>
                <w:rFonts w:ascii="Cambria" w:eastAsia="Batang" w:hAnsi="Cambria"/>
                <w:b/>
                <w:bCs/>
                <w:color w:val="080808"/>
                <w:sz w:val="20"/>
                <w:szCs w:val="20"/>
                <w:lang w:val="es-419"/>
              </w:rPr>
              <w:t xml:space="preserve">Fecha de Firma de ASA: </w:t>
            </w:r>
            <w:r w:rsidR="004E4DA5" w:rsidRPr="00555DAB">
              <w:rPr>
                <w:rFonts w:ascii="Cambria" w:eastAsia="Batang" w:hAnsi="Cambria"/>
                <w:color w:val="080808"/>
                <w:sz w:val="20"/>
                <w:szCs w:val="20"/>
                <w:lang w:val="es-419"/>
              </w:rPr>
              <w:t>18 de octubre de 2019</w:t>
            </w:r>
          </w:p>
          <w:p w14:paraId="0E00ACD7" w14:textId="6F1F1C51" w:rsidR="003B3362" w:rsidRPr="00555DAB" w:rsidRDefault="003B3362" w:rsidP="00F024F0">
            <w:pPr>
              <w:spacing w:after="0" w:line="240" w:lineRule="auto"/>
              <w:jc w:val="both"/>
              <w:rPr>
                <w:rFonts w:ascii="Cambria" w:eastAsia="Batang" w:hAnsi="Cambria"/>
                <w:bCs/>
                <w:color w:val="080808"/>
                <w:sz w:val="20"/>
                <w:szCs w:val="20"/>
                <w:lang w:val="es-419"/>
              </w:rPr>
            </w:pPr>
            <w:r w:rsidRPr="00555DAB">
              <w:rPr>
                <w:rFonts w:ascii="Cambria" w:eastAsia="Batang" w:hAnsi="Cambria"/>
                <w:b/>
                <w:color w:val="080808"/>
                <w:sz w:val="20"/>
                <w:szCs w:val="20"/>
                <w:lang w:val="es-419"/>
              </w:rPr>
              <w:t>Informe de Acuerdo de Solución Amistosa Nº</w:t>
            </w:r>
            <w:r w:rsidRPr="00555DAB">
              <w:rPr>
                <w:rFonts w:ascii="Cambria" w:eastAsia="Batang" w:hAnsi="Cambria"/>
                <w:b/>
                <w:color w:val="000000" w:themeColor="text1"/>
                <w:sz w:val="20"/>
                <w:szCs w:val="20"/>
                <w:lang w:val="es-419"/>
              </w:rPr>
              <w:t xml:space="preserve">: </w:t>
            </w:r>
            <w:hyperlink r:id="rId12" w:history="1">
              <w:r w:rsidR="004E4DA5" w:rsidRPr="00555DAB">
                <w:rPr>
                  <w:rStyle w:val="Hyperlink"/>
                  <w:rFonts w:ascii="Cambria" w:eastAsia="Batang" w:hAnsi="Cambria"/>
                  <w:bCs/>
                  <w:sz w:val="20"/>
                  <w:szCs w:val="20"/>
                  <w:lang w:val="es-ES"/>
                </w:rPr>
                <w:t>84/20</w:t>
              </w:r>
            </w:hyperlink>
            <w:r w:rsidR="004E4DA5" w:rsidRPr="00555DAB">
              <w:rPr>
                <w:rFonts w:ascii="Cambria" w:eastAsia="Batang" w:hAnsi="Cambria"/>
                <w:bCs/>
                <w:color w:val="000000" w:themeColor="text1"/>
                <w:sz w:val="20"/>
                <w:szCs w:val="20"/>
                <w:lang w:val="es-ES"/>
              </w:rPr>
              <w:t>, publicado el 1 de junio de 2020</w:t>
            </w:r>
          </w:p>
          <w:p w14:paraId="4AF3785D" w14:textId="20D64A2C" w:rsidR="003B3362" w:rsidRPr="00555DAB" w:rsidRDefault="003B3362" w:rsidP="00F024F0">
            <w:pPr>
              <w:spacing w:after="0" w:line="240" w:lineRule="auto"/>
              <w:jc w:val="both"/>
              <w:rPr>
                <w:rFonts w:ascii="Cambria" w:eastAsia="Batang" w:hAnsi="Cambria"/>
                <w:b/>
                <w:bCs/>
                <w:color w:val="080808"/>
                <w:sz w:val="20"/>
                <w:szCs w:val="20"/>
                <w:lang w:val="es-419"/>
              </w:rPr>
            </w:pPr>
            <w:r w:rsidRPr="00555DAB">
              <w:rPr>
                <w:rFonts w:ascii="Cambria" w:eastAsia="Batang" w:hAnsi="Cambria"/>
                <w:b/>
                <w:bCs/>
                <w:color w:val="080808"/>
                <w:sz w:val="20"/>
                <w:szCs w:val="20"/>
                <w:lang w:val="es-419"/>
              </w:rPr>
              <w:t>Duración estimada de la fase de negociación:</w:t>
            </w:r>
            <w:r w:rsidR="004E4DA5" w:rsidRPr="00555DAB">
              <w:rPr>
                <w:rFonts w:ascii="Cambria" w:eastAsia="Batang" w:hAnsi="Cambria"/>
                <w:color w:val="080808"/>
                <w:sz w:val="20"/>
                <w:szCs w:val="20"/>
                <w:lang w:val="es-419"/>
              </w:rPr>
              <w:t>10 meses</w:t>
            </w:r>
            <w:r w:rsidRPr="00555DAB">
              <w:rPr>
                <w:rFonts w:ascii="Cambria" w:eastAsia="Batang" w:hAnsi="Cambria"/>
                <w:b/>
                <w:bCs/>
                <w:color w:val="080808"/>
                <w:sz w:val="20"/>
                <w:szCs w:val="20"/>
                <w:lang w:val="es-419"/>
              </w:rPr>
              <w:t xml:space="preserve"> </w:t>
            </w:r>
          </w:p>
          <w:p w14:paraId="795D73D4" w14:textId="0DEA4BB8" w:rsidR="003B3362" w:rsidRPr="00555DAB" w:rsidRDefault="003B3362" w:rsidP="00F024F0">
            <w:pPr>
              <w:spacing w:after="0" w:line="240" w:lineRule="auto"/>
              <w:jc w:val="both"/>
              <w:rPr>
                <w:rFonts w:ascii="Cambria" w:eastAsia="Batang" w:hAnsi="Cambria"/>
                <w:b/>
                <w:color w:val="080808"/>
                <w:sz w:val="20"/>
                <w:szCs w:val="20"/>
                <w:lang w:val="es-419"/>
              </w:rPr>
            </w:pPr>
            <w:r w:rsidRPr="00555DAB">
              <w:rPr>
                <w:rFonts w:ascii="Cambria" w:eastAsia="Batang" w:hAnsi="Cambria"/>
                <w:b/>
                <w:color w:val="080808"/>
                <w:sz w:val="20"/>
                <w:szCs w:val="20"/>
                <w:lang w:val="es-419"/>
              </w:rPr>
              <w:t>Relatoría vinculada:</w:t>
            </w:r>
            <w:r w:rsidRPr="00555DAB">
              <w:rPr>
                <w:rFonts w:ascii="Cambria" w:eastAsia="Batang" w:hAnsi="Cambria"/>
                <w:b/>
                <w:bCs/>
                <w:color w:val="080808"/>
                <w:sz w:val="20"/>
                <w:szCs w:val="20"/>
                <w:lang w:val="es-419"/>
              </w:rPr>
              <w:t xml:space="preserve"> </w:t>
            </w:r>
            <w:r w:rsidR="004E4DA5" w:rsidRPr="00555DAB">
              <w:rPr>
                <w:rFonts w:ascii="Cambria" w:eastAsia="Batang" w:hAnsi="Cambria"/>
                <w:color w:val="080808"/>
                <w:sz w:val="20"/>
                <w:szCs w:val="20"/>
                <w:lang w:val="es-419"/>
              </w:rPr>
              <w:t>Derechos de las Personas Privadas de la Libertad</w:t>
            </w:r>
          </w:p>
          <w:p w14:paraId="11318960" w14:textId="53FA38D4" w:rsidR="003B3362" w:rsidRPr="00555DAB" w:rsidRDefault="003B3362" w:rsidP="00F024F0">
            <w:pPr>
              <w:spacing w:after="0" w:line="240" w:lineRule="auto"/>
              <w:jc w:val="both"/>
              <w:rPr>
                <w:rFonts w:ascii="Cambria" w:eastAsia="Batang" w:hAnsi="Cambria"/>
                <w:b/>
                <w:bCs/>
                <w:color w:val="080808"/>
                <w:sz w:val="20"/>
                <w:szCs w:val="20"/>
                <w:lang w:val="es-419"/>
              </w:rPr>
            </w:pPr>
            <w:r w:rsidRPr="00555DAB">
              <w:rPr>
                <w:rFonts w:ascii="Cambria" w:eastAsia="Batang" w:hAnsi="Cambria"/>
                <w:b/>
                <w:color w:val="080808"/>
                <w:sz w:val="20"/>
                <w:szCs w:val="20"/>
                <w:lang w:val="es-419"/>
              </w:rPr>
              <w:t xml:space="preserve">Temas: </w:t>
            </w:r>
            <w:r w:rsidR="004E4DA5" w:rsidRPr="00555DAB">
              <w:rPr>
                <w:rFonts w:ascii="Cambria" w:eastAsia="Batang" w:hAnsi="Cambria"/>
                <w:bCs/>
                <w:color w:val="080808"/>
                <w:sz w:val="20"/>
                <w:szCs w:val="20"/>
                <w:lang w:val="es-ES"/>
              </w:rPr>
              <w:t>Derecho a la Vida/ Derecho a la Indemnización/ Desplazamiento Interno/ Garantías Judiciales/ Investigación y Debida Diligencia/ Protección Judicial/ Terrorismo y Derechos Humanos</w:t>
            </w:r>
          </w:p>
          <w:p w14:paraId="346FD702" w14:textId="77777777" w:rsidR="003B3362" w:rsidRPr="00555DAB" w:rsidRDefault="003B3362" w:rsidP="00F024F0">
            <w:pPr>
              <w:spacing w:after="0" w:line="240" w:lineRule="auto"/>
              <w:jc w:val="both"/>
              <w:rPr>
                <w:rFonts w:ascii="Cambria" w:eastAsia="Batang" w:hAnsi="Cambria"/>
                <w:b/>
                <w:bCs/>
                <w:color w:val="080808"/>
                <w:sz w:val="20"/>
                <w:szCs w:val="20"/>
                <w:lang w:val="es-419"/>
              </w:rPr>
            </w:pPr>
          </w:p>
          <w:p w14:paraId="1190F89C" w14:textId="4984CE05" w:rsidR="000F6AC8" w:rsidRPr="00555DAB" w:rsidRDefault="003B3362" w:rsidP="004E4DA5">
            <w:pPr>
              <w:spacing w:after="0" w:line="240" w:lineRule="auto"/>
              <w:jc w:val="both"/>
              <w:rPr>
                <w:rFonts w:ascii="Cambria" w:eastAsia="Batang" w:hAnsi="Cambria"/>
                <w:bCs/>
                <w:color w:val="080808"/>
                <w:sz w:val="20"/>
                <w:szCs w:val="20"/>
                <w:lang w:val="es-419"/>
              </w:rPr>
            </w:pPr>
            <w:r w:rsidRPr="00555DAB">
              <w:rPr>
                <w:rFonts w:ascii="Cambria" w:eastAsia="Batang" w:hAnsi="Cambria"/>
                <w:b/>
                <w:color w:val="080808"/>
                <w:sz w:val="20"/>
                <w:szCs w:val="20"/>
                <w:lang w:val="es-419"/>
              </w:rPr>
              <w:t xml:space="preserve">Hechos: </w:t>
            </w:r>
            <w:r w:rsidR="004E4DA5" w:rsidRPr="00555DAB">
              <w:rPr>
                <w:rFonts w:ascii="Cambria" w:eastAsia="Batang" w:hAnsi="Cambria"/>
                <w:bCs/>
                <w:color w:val="080808"/>
                <w:sz w:val="20"/>
                <w:szCs w:val="20"/>
                <w:lang w:val="es-ES"/>
              </w:rPr>
              <w:t>La parte peticionaria alegó que el 19 de julio de 1994, grupos ilegales armados habrían tomado la vía Villavicencio – San Martín, conocida como la Curva del Cheque durante aproximadamente seis horas sin que miembros de las fuerzas públicas se apersonaran en el lugar. Derivado de esto, el señor Montes Gallego habría recibido varios impactos de balas y por imposibilidad de ser trasladado a un centro de atención médica de forma inmediata, la muerte se habría producido antes de llegar a la clínica por causa de anemia aguda y shock hipovolémico por hemorragia severa. Adicionalmente, la parte peticionaria alegó que como consecuencia de los hechos y debido al impacto psicológico, social y económico, los familiares del señor Montes Gallegos se habrían visto obligados a abandonar su zona de residencia para proteger sus vidas. Con posterioridad a los hechos se inició un proceso ante la vía contenciosa administrativa, mediante un proceso de reparación directa, presentada el 11 de septiembre de 1995, con el fin de obtener una indemnización por los perjuicios sufridos por los familiares de la víctima, de esta el Tribunal Administrativo del Meta resolvió negar las pretensiones formuladas, decisión que fue apelada ante el Consejo de Estado y la Sala Contencioso Administrativo de la Sección Tercera del Consejo de Estado confirmó íntegramente la providencia del Tribunal Administrativo del Meta. Del procedimiento penal, la parte peticionaria informó que la Fiscalía General de la Nación ordenó a la Fiscalía de San Martín Meta la realización de la investigación previa y que posteriormente dicho procedimiento fue trasladado a Bogotá sin que la investigación haya concluido, ni se hayan señalado a los presuntos responsables. Sin conocimiento certero sobre la decisión definitiva dentro del proceso.</w:t>
            </w:r>
          </w:p>
          <w:p w14:paraId="04CB3AE2" w14:textId="77777777" w:rsidR="003B3362" w:rsidRPr="00555DAB" w:rsidRDefault="003B3362" w:rsidP="00F024F0">
            <w:pPr>
              <w:spacing w:after="0" w:line="240" w:lineRule="auto"/>
              <w:jc w:val="both"/>
              <w:rPr>
                <w:rFonts w:ascii="Cambria" w:eastAsia="Batang" w:hAnsi="Cambria"/>
                <w:b/>
                <w:color w:val="080808"/>
                <w:sz w:val="20"/>
                <w:szCs w:val="20"/>
                <w:lang w:val="es-419"/>
              </w:rPr>
            </w:pPr>
          </w:p>
          <w:p w14:paraId="039EA89A" w14:textId="287340D4" w:rsidR="000F6AC8" w:rsidRPr="00555DAB" w:rsidRDefault="003B3362" w:rsidP="00F024F0">
            <w:pPr>
              <w:autoSpaceDE w:val="0"/>
              <w:autoSpaceDN w:val="0"/>
              <w:adjustRightInd w:val="0"/>
              <w:spacing w:after="0" w:line="240" w:lineRule="auto"/>
              <w:jc w:val="both"/>
              <w:rPr>
                <w:rFonts w:ascii="Cambria" w:eastAsia="Batang" w:hAnsi="Cambria"/>
                <w:bCs/>
                <w:color w:val="080808"/>
                <w:sz w:val="20"/>
                <w:szCs w:val="20"/>
                <w:lang w:val="es-VE"/>
              </w:rPr>
            </w:pPr>
            <w:r w:rsidRPr="00555DAB">
              <w:rPr>
                <w:rFonts w:ascii="Cambria" w:eastAsia="Batang" w:hAnsi="Cambria"/>
                <w:b/>
                <w:color w:val="080808"/>
                <w:sz w:val="20"/>
                <w:szCs w:val="20"/>
                <w:lang w:val="es-419"/>
              </w:rPr>
              <w:t xml:space="preserve">Derechos alegados: </w:t>
            </w:r>
            <w:r w:rsidR="004E4DA5" w:rsidRPr="00555DAB">
              <w:rPr>
                <w:rFonts w:ascii="Cambria" w:eastAsia="Batang" w:hAnsi="Cambria"/>
                <w:bCs/>
                <w:color w:val="080808"/>
                <w:sz w:val="20"/>
                <w:szCs w:val="20"/>
                <w:lang w:val="es-VE"/>
              </w:rPr>
              <w:t>Los peticionarios alegaron que la República de Colombia violó los artículos 1.1. (obligación de respetar y garantizar los derechos), 4 (derecho a la vida), 5 (derecho a la integridad personal), 8 (garantías judiciales), 10 (derecho a indemnización), 17 (protección a la familia), 22 (derecho a la circulación y residencia), 24 (igualdad ante la ley) y 25 (protección judicial) de la Convención Americana sobre Derechos Humanos (en adelante “Convención” o “Convención americana” o “CADH”); así como por la violación de los artículos 1 (derecho a la vida, a la seguridad e integridad de la persona), 2 (derecho de igualdad ante la ley), 8 (derecho de residencia y tránsito), 11 (derecho a la preservación de la salud y al bienestar) y 18 (derecho de justicia) de la Declaración Americana de los Derechos y Deberes del hombre.</w:t>
            </w:r>
          </w:p>
        </w:tc>
      </w:tr>
    </w:tbl>
    <w:p w14:paraId="1800F6C1" w14:textId="77777777" w:rsidR="003B3362" w:rsidRPr="00813747" w:rsidRDefault="003B3362" w:rsidP="00B10447">
      <w:pPr>
        <w:spacing w:after="0" w:line="240" w:lineRule="auto"/>
        <w:contextualSpacing/>
        <w:jc w:val="both"/>
        <w:rPr>
          <w:rFonts w:ascii="Cambria" w:eastAsia="Batang" w:hAnsi="Cambria" w:cs="Calibri Light"/>
          <w:b/>
          <w:color w:val="080808"/>
          <w:lang w:val="es-419"/>
        </w:rPr>
      </w:pPr>
    </w:p>
    <w:p w14:paraId="54DD000F" w14:textId="77777777" w:rsidR="00913C1E" w:rsidRDefault="00913C1E" w:rsidP="00555DAB">
      <w:pPr>
        <w:spacing w:after="0" w:line="240" w:lineRule="auto"/>
        <w:ind w:left="1440"/>
        <w:jc w:val="both"/>
        <w:rPr>
          <w:rFonts w:ascii="Cambria" w:eastAsia="Batang" w:hAnsi="Cambria"/>
          <w:b/>
          <w:color w:val="080808"/>
          <w:lang w:val="es-419"/>
        </w:rPr>
      </w:pPr>
    </w:p>
    <w:p w14:paraId="78070B13" w14:textId="1F7133CD" w:rsidR="003B3362" w:rsidRPr="00813747" w:rsidRDefault="003B3362" w:rsidP="00B10447">
      <w:pPr>
        <w:numPr>
          <w:ilvl w:val="0"/>
          <w:numId w:val="37"/>
        </w:numPr>
        <w:spacing w:after="0" w:line="240" w:lineRule="auto"/>
        <w:ind w:left="1440"/>
        <w:jc w:val="both"/>
        <w:rPr>
          <w:rFonts w:ascii="Cambria" w:eastAsia="Batang" w:hAnsi="Cambria"/>
          <w:b/>
          <w:color w:val="080808"/>
          <w:lang w:val="es-419"/>
        </w:rPr>
      </w:pPr>
      <w:r w:rsidRPr="00813747">
        <w:rPr>
          <w:rFonts w:ascii="Cambria" w:eastAsia="Batang" w:hAnsi="Cambria"/>
          <w:b/>
          <w:color w:val="080808"/>
          <w:lang w:val="es-419"/>
        </w:rPr>
        <w:lastRenderedPageBreak/>
        <w:t>ACTIVIDAD PROCESAL</w:t>
      </w:r>
    </w:p>
    <w:p w14:paraId="4140C440" w14:textId="77777777" w:rsidR="003B3362" w:rsidRPr="00813747" w:rsidRDefault="003B3362" w:rsidP="00B10447">
      <w:pPr>
        <w:spacing w:after="0" w:line="240" w:lineRule="auto"/>
        <w:jc w:val="both"/>
        <w:rPr>
          <w:rFonts w:ascii="Cambria" w:hAnsi="Cambria"/>
          <w:color w:val="080808"/>
          <w:lang w:val="es-419"/>
        </w:rPr>
      </w:pPr>
    </w:p>
    <w:p w14:paraId="7588A3BE" w14:textId="758226D0" w:rsidR="00EE61D0" w:rsidRPr="002F1886" w:rsidRDefault="002F1886" w:rsidP="00555DAB">
      <w:pPr>
        <w:pStyle w:val="IASubttulo3"/>
        <w:numPr>
          <w:ilvl w:val="0"/>
          <w:numId w:val="41"/>
        </w:numPr>
        <w:rPr>
          <w:b w:val="0"/>
          <w:sz w:val="22"/>
          <w:szCs w:val="24"/>
          <w:lang w:val="es-CO"/>
        </w:rPr>
      </w:pPr>
      <w:r w:rsidRPr="002F1886">
        <w:rPr>
          <w:b w:val="0"/>
          <w:sz w:val="22"/>
          <w:szCs w:val="24"/>
          <w:lang w:val="es-CO"/>
        </w:rPr>
        <w:t xml:space="preserve">El </w:t>
      </w:r>
      <w:r>
        <w:rPr>
          <w:b w:val="0"/>
          <w:sz w:val="22"/>
          <w:szCs w:val="24"/>
          <w:lang w:val="es-CO"/>
        </w:rPr>
        <w:t>18 de octubre</w:t>
      </w:r>
      <w:r w:rsidRPr="002F1886">
        <w:rPr>
          <w:b w:val="0"/>
          <w:sz w:val="22"/>
          <w:szCs w:val="24"/>
          <w:lang w:val="es-CO"/>
        </w:rPr>
        <w:t xml:space="preserve"> de 2019, las partes firmaron un acuerdo de solución amistosa.</w:t>
      </w:r>
    </w:p>
    <w:p w14:paraId="3C950990" w14:textId="554C91F7" w:rsidR="004E4DA5" w:rsidRPr="00813747" w:rsidRDefault="004E4DA5" w:rsidP="00B10447">
      <w:pPr>
        <w:pStyle w:val="IASubttulo3"/>
        <w:numPr>
          <w:ilvl w:val="0"/>
          <w:numId w:val="41"/>
        </w:numPr>
        <w:tabs>
          <w:tab w:val="clear" w:pos="720"/>
        </w:tabs>
        <w:spacing w:after="0"/>
        <w:ind w:left="0" w:firstLine="720"/>
        <w:jc w:val="both"/>
        <w:rPr>
          <w:b w:val="0"/>
          <w:sz w:val="22"/>
          <w:szCs w:val="24"/>
          <w:lang w:val="es-CO"/>
        </w:rPr>
      </w:pPr>
      <w:r w:rsidRPr="00813747">
        <w:rPr>
          <w:b w:val="0"/>
          <w:sz w:val="22"/>
          <w:szCs w:val="24"/>
          <w:lang w:val="es-CO"/>
        </w:rPr>
        <w:t xml:space="preserve">La CIDH publicó el informe de homologación </w:t>
      </w:r>
      <w:r w:rsidRPr="00813747">
        <w:rPr>
          <w:b w:val="0"/>
          <w:sz w:val="22"/>
          <w:szCs w:val="24"/>
          <w:lang w:val="es-ES"/>
        </w:rPr>
        <w:t>en fecha 1 de junio de 2020.</w:t>
      </w:r>
    </w:p>
    <w:p w14:paraId="22E414F2" w14:textId="1065AFC7" w:rsidR="004E4DA5" w:rsidRPr="00813747" w:rsidRDefault="004E4DA5" w:rsidP="00B10447">
      <w:pPr>
        <w:pStyle w:val="IASubttulo3"/>
        <w:numPr>
          <w:ilvl w:val="0"/>
          <w:numId w:val="0"/>
        </w:numPr>
        <w:spacing w:after="0"/>
        <w:ind w:left="720"/>
        <w:jc w:val="both"/>
        <w:rPr>
          <w:b w:val="0"/>
          <w:bCs/>
          <w:lang w:val="es-CO"/>
        </w:rPr>
      </w:pPr>
    </w:p>
    <w:p w14:paraId="33AF502C" w14:textId="77777777" w:rsidR="003B3362" w:rsidRPr="00813747"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419"/>
        </w:rPr>
      </w:pPr>
      <w:r w:rsidRPr="00813747">
        <w:rPr>
          <w:rFonts w:ascii="Cambria" w:eastAsia="Batang" w:hAnsi="Cambria" w:cs="Calibri Light"/>
          <w:b/>
          <w:color w:val="080808"/>
          <w:lang w:val="es-419"/>
        </w:rPr>
        <w:t>ANÁLISIS DEL CUMPLIMIENTO DE LAS CLÁUSULAS DEL ACUERDO DE SOLUCIÓN AMISTOSA</w:t>
      </w:r>
    </w:p>
    <w:p w14:paraId="67A36B0B" w14:textId="77777777" w:rsidR="003B3362" w:rsidRPr="00813747" w:rsidRDefault="003B3362" w:rsidP="003B3362">
      <w:pPr>
        <w:spacing w:after="0" w:line="240" w:lineRule="auto"/>
        <w:ind w:left="720"/>
        <w:jc w:val="both"/>
        <w:rPr>
          <w:rFonts w:ascii="Cambria" w:eastAsia="Batang" w:hAnsi="Cambria" w:cs="Calibri Light"/>
          <w:color w:val="080808"/>
          <w:lang w:val="es-419"/>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813747"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813747" w:rsidRDefault="003B3362" w:rsidP="00F024F0">
            <w:pPr>
              <w:tabs>
                <w:tab w:val="center" w:pos="2049"/>
              </w:tabs>
              <w:spacing w:after="0" w:line="240" w:lineRule="auto"/>
              <w:jc w:val="center"/>
              <w:rPr>
                <w:rFonts w:ascii="Cambria" w:eastAsia="Batang" w:hAnsi="Cambria"/>
                <w:b/>
                <w:color w:val="080808"/>
                <w:lang w:val="es-419"/>
              </w:rPr>
            </w:pPr>
            <w:r w:rsidRPr="00813747">
              <w:rPr>
                <w:rFonts w:ascii="Cambria" w:eastAsia="Batang" w:hAnsi="Cambria"/>
                <w:b/>
                <w:color w:val="080808"/>
                <w:lang w:val="es-419"/>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813747" w:rsidRDefault="003B3362" w:rsidP="00F024F0">
            <w:pPr>
              <w:spacing w:after="0" w:line="240" w:lineRule="auto"/>
              <w:jc w:val="center"/>
              <w:rPr>
                <w:rFonts w:ascii="Cambria" w:eastAsia="Batang" w:hAnsi="Cambria"/>
                <w:b/>
                <w:color w:val="080808"/>
                <w:lang w:val="es-419"/>
              </w:rPr>
            </w:pPr>
            <w:r w:rsidRPr="00813747">
              <w:rPr>
                <w:rFonts w:ascii="Cambria" w:eastAsia="Batang" w:hAnsi="Cambria"/>
                <w:b/>
                <w:color w:val="080808"/>
                <w:lang w:val="es-419"/>
              </w:rPr>
              <w:t>Estado de Cumplimiento</w:t>
            </w:r>
          </w:p>
        </w:tc>
      </w:tr>
      <w:tr w:rsidR="003B3362" w:rsidRPr="00813747"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4CB7AF21" w14:textId="77777777" w:rsidR="003B3362" w:rsidRPr="00813747" w:rsidRDefault="00B10447" w:rsidP="00F024F0">
            <w:pPr>
              <w:spacing w:after="0" w:line="240" w:lineRule="auto"/>
              <w:jc w:val="both"/>
              <w:rPr>
                <w:rFonts w:ascii="Cambria" w:eastAsia="Batang" w:hAnsi="Cambria"/>
                <w:b/>
                <w:bCs/>
                <w:color w:val="080808"/>
                <w:lang w:val="es-ES"/>
              </w:rPr>
            </w:pPr>
            <w:r w:rsidRPr="00813747">
              <w:rPr>
                <w:rFonts w:ascii="Cambria" w:eastAsia="Batang" w:hAnsi="Cambria"/>
                <w:b/>
                <w:bCs/>
                <w:color w:val="080808"/>
                <w:lang w:val="es-ES"/>
              </w:rPr>
              <w:t>PRIMERO. RECONOCIMIENTO DE RESPONSABILIDAD</w:t>
            </w:r>
          </w:p>
          <w:p w14:paraId="7F89AD2A" w14:textId="77777777" w:rsidR="00B10447" w:rsidRPr="00813747" w:rsidRDefault="00B10447" w:rsidP="00F024F0">
            <w:pPr>
              <w:spacing w:after="0" w:line="240" w:lineRule="auto"/>
              <w:jc w:val="both"/>
              <w:rPr>
                <w:rFonts w:ascii="Cambria" w:eastAsia="Batang" w:hAnsi="Cambria"/>
                <w:b/>
                <w:bCs/>
                <w:color w:val="080808"/>
                <w:lang w:val="es-ES"/>
              </w:rPr>
            </w:pPr>
          </w:p>
          <w:p w14:paraId="3D81FDF4" w14:textId="5B729932" w:rsidR="00B10447" w:rsidRPr="00813747" w:rsidRDefault="00B10447" w:rsidP="00F024F0">
            <w:pPr>
              <w:spacing w:after="0" w:line="240" w:lineRule="auto"/>
              <w:jc w:val="both"/>
              <w:rPr>
                <w:rFonts w:ascii="Cambria" w:eastAsia="Times New Roman" w:hAnsi="Cambria"/>
                <w:color w:val="080808"/>
                <w:lang w:val="es-419"/>
              </w:rPr>
            </w:pPr>
            <w:r w:rsidRPr="00813747">
              <w:rPr>
                <w:rFonts w:ascii="Cambria" w:eastAsia="Batang" w:hAnsi="Cambria"/>
                <w:color w:val="080808"/>
                <w:lang w:val="es-ES"/>
              </w:rPr>
              <w:t>El Estado colombiano reconoce su responsabilidad Internacional por la violación de los derechos a las garantías judiciales y a la protección judicial, reconocidos en los artículos 8 y 25 de la Convención Americana sobre Derechos Humanos, en relación con la obligación general establecida en el artículo 1.1 del mismo instrumento Internacional, en favor de los familiares directos del señor Jorge Alberto Montes Gallego.</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77777777" w:rsidR="003B3362" w:rsidRPr="00813747" w:rsidRDefault="003B3362" w:rsidP="00F024F0">
            <w:pPr>
              <w:spacing w:after="0" w:line="240" w:lineRule="auto"/>
              <w:jc w:val="center"/>
              <w:rPr>
                <w:rFonts w:ascii="Cambria" w:eastAsia="Batang" w:hAnsi="Cambria"/>
                <w:b/>
                <w:color w:val="080808"/>
                <w:lang w:val="es-419"/>
              </w:rPr>
            </w:pPr>
            <w:r w:rsidRPr="00813747">
              <w:rPr>
                <w:rFonts w:ascii="Cambria" w:eastAsia="Batang" w:hAnsi="Cambria"/>
                <w:b/>
                <w:color w:val="000000"/>
                <w:lang w:val="es-419" w:eastAsia="es-ES_tradnl"/>
              </w:rPr>
              <w:t>Cláusula Declarativa</w:t>
            </w:r>
          </w:p>
        </w:tc>
      </w:tr>
      <w:tr w:rsidR="00B10447" w:rsidRPr="00813747" w14:paraId="3674CC3C" w14:textId="77777777" w:rsidTr="00B10447">
        <w:trPr>
          <w:trHeight w:val="288"/>
          <w:jc w:val="center"/>
        </w:trPr>
        <w:tc>
          <w:tcPr>
            <w:tcW w:w="9333" w:type="dxa"/>
            <w:gridSpan w:val="2"/>
            <w:tcBorders>
              <w:top w:val="single" w:sz="4" w:space="0" w:color="auto"/>
              <w:left w:val="single" w:sz="4" w:space="0" w:color="auto"/>
              <w:bottom w:val="single" w:sz="4" w:space="0" w:color="auto"/>
              <w:right w:val="single" w:sz="4" w:space="0" w:color="auto"/>
            </w:tcBorders>
            <w:vAlign w:val="bottom"/>
          </w:tcPr>
          <w:p w14:paraId="71ADDFEF" w14:textId="5A590910" w:rsidR="00B10447" w:rsidRPr="00813747" w:rsidRDefault="00B10447" w:rsidP="00B10447">
            <w:pPr>
              <w:spacing w:after="0" w:line="240" w:lineRule="auto"/>
              <w:jc w:val="both"/>
              <w:rPr>
                <w:rFonts w:ascii="Cambria" w:eastAsia="Batang" w:hAnsi="Cambria"/>
                <w:bCs/>
                <w:color w:val="080808"/>
                <w:lang w:val="es-419"/>
              </w:rPr>
            </w:pPr>
            <w:r w:rsidRPr="00813747">
              <w:rPr>
                <w:rFonts w:ascii="Cambria" w:eastAsia="Batang" w:hAnsi="Cambria"/>
                <w:b/>
                <w:bCs/>
                <w:color w:val="080808"/>
                <w:lang w:val="es-ES"/>
              </w:rPr>
              <w:t>SEGUNDO. MEDIDAS DE SATISFACCIÓN</w:t>
            </w:r>
            <w:r w:rsidRPr="00813747">
              <w:rPr>
                <w:rFonts w:ascii="Cambria" w:eastAsia="Batang" w:hAnsi="Cambria"/>
                <w:bCs/>
                <w:color w:val="080808"/>
                <w:lang w:val="es-419"/>
              </w:rPr>
              <w:t xml:space="preserve"> </w:t>
            </w:r>
          </w:p>
        </w:tc>
      </w:tr>
      <w:tr w:rsidR="003B3362" w:rsidRPr="00813747"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317CE528" w14:textId="77777777" w:rsidR="00B10447" w:rsidRPr="00813747" w:rsidRDefault="00B10447" w:rsidP="00B10447">
            <w:pPr>
              <w:spacing w:after="0" w:line="240" w:lineRule="auto"/>
              <w:jc w:val="both"/>
              <w:rPr>
                <w:rFonts w:ascii="Cambria" w:eastAsia="Batang" w:hAnsi="Cambria"/>
                <w:b/>
                <w:bCs/>
                <w:color w:val="080808"/>
                <w:lang w:val="es-VE"/>
              </w:rPr>
            </w:pPr>
          </w:p>
          <w:p w14:paraId="5160AF5D" w14:textId="26136AFB" w:rsidR="003B3362" w:rsidRPr="00813747" w:rsidRDefault="00B10447" w:rsidP="00B10447">
            <w:pPr>
              <w:spacing w:after="0" w:line="240" w:lineRule="auto"/>
              <w:jc w:val="both"/>
              <w:rPr>
                <w:rFonts w:ascii="Cambria" w:hAnsi="Cambria"/>
                <w:color w:val="080808"/>
                <w:lang w:val="es-419"/>
              </w:rPr>
            </w:pPr>
            <w:r w:rsidRPr="00B10447">
              <w:rPr>
                <w:rFonts w:ascii="Cambria" w:eastAsia="Batang" w:hAnsi="Cambria"/>
                <w:b/>
                <w:bCs/>
                <w:color w:val="080808"/>
                <w:lang w:val="es-VE"/>
              </w:rPr>
              <w:t>Acto de Reconocimiento de Responsabilidad.</w:t>
            </w:r>
            <w:r w:rsidRPr="00B10447">
              <w:rPr>
                <w:rFonts w:ascii="Cambria" w:eastAsia="Batang" w:hAnsi="Cambria"/>
                <w:bCs/>
                <w:color w:val="080808"/>
                <w:lang w:val="es-VE"/>
              </w:rPr>
              <w:t xml:space="preserve"> </w:t>
            </w:r>
            <w:r w:rsidRPr="00813747">
              <w:rPr>
                <w:rFonts w:ascii="Cambria" w:eastAsia="Batang" w:hAnsi="Cambria"/>
                <w:bCs/>
                <w:color w:val="080808"/>
                <w:lang w:val="es-VE"/>
              </w:rPr>
              <w:t>El Estado se compromete a realizar un Acto Privado de Reconocimiento de Responsabilidad, en el cual hará entrega de una carta de disculpas a la familia de la víctima. Este Acto será presidido por el Director General o por la Directora de Defensa Jurídica Internacional de la Agencia Nacional de Defensa Jurídica del Estado y será concertado con los representantes de las víctimas.</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78072A65" w:rsidR="003B3362" w:rsidRPr="00813747" w:rsidRDefault="00B10447" w:rsidP="00F024F0">
            <w:pPr>
              <w:spacing w:after="0" w:line="240" w:lineRule="auto"/>
              <w:jc w:val="center"/>
              <w:rPr>
                <w:rFonts w:ascii="Cambria" w:eastAsia="Batang" w:hAnsi="Cambria"/>
                <w:b/>
                <w:color w:val="080808"/>
                <w:lang w:val="es-419"/>
              </w:rPr>
            </w:pPr>
            <w:r w:rsidRPr="00813747">
              <w:rPr>
                <w:rFonts w:ascii="Cambria" w:hAnsi="Cambria"/>
                <w:b/>
                <w:bCs/>
                <w:lang w:val="es-VE"/>
              </w:rPr>
              <w:t>Total</w:t>
            </w:r>
            <w:r w:rsidRPr="00813747">
              <w:rPr>
                <w:rStyle w:val="FootnoteReference"/>
                <w:rFonts w:ascii="Cambria" w:hAnsi="Cambria"/>
                <w:b/>
                <w:bCs/>
                <w:lang w:val="es-VE"/>
              </w:rPr>
              <w:footnoteReference w:id="1"/>
            </w:r>
          </w:p>
        </w:tc>
      </w:tr>
      <w:tr w:rsidR="003B3362" w:rsidRPr="00813747"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7C19412D" w14:textId="77777777" w:rsidR="00B10447" w:rsidRPr="00813747" w:rsidRDefault="00B10447" w:rsidP="00F024F0">
            <w:pPr>
              <w:spacing w:after="0" w:line="240" w:lineRule="auto"/>
              <w:jc w:val="both"/>
              <w:rPr>
                <w:rFonts w:ascii="Cambria" w:eastAsia="Batang" w:hAnsi="Cambria"/>
                <w:bCs/>
                <w:color w:val="080808"/>
                <w:lang w:val="es-419"/>
              </w:rPr>
            </w:pPr>
          </w:p>
          <w:p w14:paraId="2A1CB548" w14:textId="51FBEF95" w:rsidR="003B3362" w:rsidRPr="00393013" w:rsidRDefault="00B10447" w:rsidP="00F024F0">
            <w:pPr>
              <w:spacing w:after="0" w:line="240" w:lineRule="auto"/>
              <w:jc w:val="both"/>
              <w:rPr>
                <w:rFonts w:ascii="Cambria" w:hAnsi="Cambria"/>
                <w:color w:val="080808"/>
                <w:lang w:val="es-US"/>
              </w:rPr>
            </w:pPr>
            <w:r w:rsidRPr="00813747">
              <w:rPr>
                <w:rFonts w:ascii="Cambria" w:eastAsia="Batang" w:hAnsi="Cambria"/>
                <w:b/>
                <w:bCs/>
                <w:color w:val="080808"/>
                <w:lang w:val="es-VE"/>
              </w:rPr>
              <w:t xml:space="preserve">Publicación de los hechos. </w:t>
            </w:r>
            <w:r w:rsidRPr="00813747">
              <w:rPr>
                <w:rFonts w:ascii="Cambria" w:eastAsia="Batang" w:hAnsi="Cambria"/>
                <w:bCs/>
                <w:color w:val="080808"/>
                <w:lang w:val="es-VE"/>
              </w:rPr>
              <w:t>El Estado colombiano se compromete a publicar el informe, conforme lo ordenado en el artículo 49 de la Convención Americana sobre Derechos Humanos que homologue el acuerdo de solución amistosa, en la página web de la Agencia Nacional de Defensa Jurídica del Estado, por el término de seis meses.</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77777777" w:rsidR="003B3362" w:rsidRPr="00813747" w:rsidRDefault="003B3362" w:rsidP="00F024F0">
            <w:pPr>
              <w:spacing w:after="0" w:line="240" w:lineRule="auto"/>
              <w:jc w:val="center"/>
              <w:rPr>
                <w:rFonts w:ascii="Cambria" w:eastAsia="Batang" w:hAnsi="Cambria"/>
                <w:b/>
                <w:color w:val="080808"/>
                <w:lang w:val="es-419"/>
              </w:rPr>
            </w:pPr>
            <w:r w:rsidRPr="00813747">
              <w:rPr>
                <w:rFonts w:ascii="Cambria" w:eastAsia="Batang" w:hAnsi="Cambria"/>
                <w:b/>
                <w:color w:val="080808"/>
                <w:lang w:val="es-419"/>
              </w:rPr>
              <w:t>Total</w:t>
            </w:r>
            <w:r w:rsidRPr="00813747">
              <w:rPr>
                <w:rFonts w:ascii="Cambria" w:eastAsia="Batang" w:hAnsi="Cambria"/>
                <w:b/>
                <w:color w:val="080808"/>
                <w:vertAlign w:val="superscript"/>
                <w:lang w:val="es-419"/>
              </w:rPr>
              <w:footnoteReference w:id="2"/>
            </w:r>
          </w:p>
        </w:tc>
      </w:tr>
      <w:tr w:rsidR="003B3362" w:rsidRPr="00813747" w14:paraId="29366998" w14:textId="77777777" w:rsidTr="00F024F0">
        <w:trPr>
          <w:trHeight w:val="1151"/>
          <w:jc w:val="center"/>
        </w:trPr>
        <w:tc>
          <w:tcPr>
            <w:tcW w:w="7632" w:type="dxa"/>
            <w:tcBorders>
              <w:top w:val="single" w:sz="4" w:space="0" w:color="auto"/>
              <w:left w:val="single" w:sz="4" w:space="0" w:color="auto"/>
              <w:bottom w:val="single" w:sz="4" w:space="0" w:color="auto"/>
              <w:right w:val="single" w:sz="4" w:space="0" w:color="auto"/>
            </w:tcBorders>
          </w:tcPr>
          <w:p w14:paraId="59B5759C" w14:textId="77777777" w:rsidR="00B10447" w:rsidRPr="00813747" w:rsidRDefault="00B10447" w:rsidP="00F024F0">
            <w:pPr>
              <w:spacing w:after="0" w:line="240" w:lineRule="auto"/>
              <w:jc w:val="both"/>
              <w:rPr>
                <w:rFonts w:ascii="Cambria" w:eastAsia="Batang" w:hAnsi="Cambria"/>
                <w:bCs/>
                <w:color w:val="080808"/>
                <w:lang w:val="es-419"/>
              </w:rPr>
            </w:pPr>
            <w:r w:rsidRPr="00813747">
              <w:rPr>
                <w:rFonts w:ascii="Cambria" w:eastAsia="Batang" w:hAnsi="Cambria"/>
                <w:b/>
                <w:color w:val="080808"/>
                <w:lang w:val="es-419"/>
              </w:rPr>
              <w:t>TERCERO. REPARACIÓN PECUNIARIA</w:t>
            </w:r>
          </w:p>
          <w:p w14:paraId="0D45F9A8" w14:textId="77777777" w:rsidR="00B10447" w:rsidRPr="00813747" w:rsidRDefault="00B10447" w:rsidP="00F024F0">
            <w:pPr>
              <w:spacing w:after="0" w:line="240" w:lineRule="auto"/>
              <w:jc w:val="both"/>
              <w:rPr>
                <w:rFonts w:ascii="Cambria" w:eastAsia="Batang" w:hAnsi="Cambria"/>
                <w:bCs/>
                <w:color w:val="080808"/>
                <w:lang w:val="es-419"/>
              </w:rPr>
            </w:pPr>
          </w:p>
          <w:p w14:paraId="734F1DD2" w14:textId="6CC6D906" w:rsidR="003B3362" w:rsidRPr="00813747" w:rsidRDefault="00B10447" w:rsidP="00F024F0">
            <w:pPr>
              <w:spacing w:after="0" w:line="240" w:lineRule="auto"/>
              <w:jc w:val="both"/>
              <w:rPr>
                <w:rFonts w:ascii="Cambria" w:hAnsi="Cambria"/>
                <w:color w:val="080808"/>
                <w:lang w:val="es-419"/>
              </w:rPr>
            </w:pPr>
            <w:r w:rsidRPr="00813747">
              <w:rPr>
                <w:rFonts w:ascii="Cambria" w:eastAsia="Batang" w:hAnsi="Cambria"/>
                <w:bCs/>
                <w:color w:val="080808"/>
                <w:lang w:val="es-ES"/>
              </w:rPr>
              <w:t xml:space="preserve">El Estado se compromete a dar aplicación a la Ley 288 de 1996, una vez se homologue el presente acuerdo de solución amistosa mediante la expedición del Informe de artículo 49 de la Convención Americana sobre Derechos Humanos. Lo anterior, con el propósito de indemnizar los perjuicios inmateriales y materiales que llegaran a probarse a favor de los familiares de la víctima que no han sido reparados a través de la Jurisdicción Contencioso Administrativa, </w:t>
            </w:r>
            <w:r w:rsidRPr="00813747">
              <w:rPr>
                <w:rFonts w:ascii="Cambria" w:eastAsia="Batang" w:hAnsi="Cambria"/>
                <w:bCs/>
                <w:color w:val="080808"/>
                <w:lang w:val="es-ES"/>
              </w:rPr>
              <w:lastRenderedPageBreak/>
              <w:t>descontando, de ser el caso, los montos reconocidos por reparaciones administrativas</w:t>
            </w:r>
            <w:r w:rsidRPr="00813747">
              <w:rPr>
                <w:rFonts w:ascii="Cambria" w:eastAsia="Batang" w:hAnsi="Cambria"/>
                <w:bCs/>
                <w:color w:val="080808"/>
                <w:lang w:val="es-419"/>
              </w:rPr>
              <w:t>.</w:t>
            </w:r>
          </w:p>
        </w:tc>
        <w:tc>
          <w:tcPr>
            <w:tcW w:w="1701" w:type="dxa"/>
            <w:tcBorders>
              <w:top w:val="single" w:sz="4" w:space="0" w:color="auto"/>
              <w:left w:val="single" w:sz="4" w:space="0" w:color="auto"/>
              <w:bottom w:val="single" w:sz="4" w:space="0" w:color="auto"/>
              <w:right w:val="single" w:sz="4" w:space="0" w:color="auto"/>
            </w:tcBorders>
            <w:vAlign w:val="center"/>
          </w:tcPr>
          <w:p w14:paraId="3D380577" w14:textId="77777777" w:rsidR="003B3362" w:rsidRPr="00813747" w:rsidRDefault="003B3362" w:rsidP="00F024F0">
            <w:pPr>
              <w:spacing w:after="0" w:line="240" w:lineRule="auto"/>
              <w:jc w:val="center"/>
              <w:rPr>
                <w:rFonts w:ascii="Cambria" w:eastAsia="Batang" w:hAnsi="Cambria"/>
                <w:b/>
                <w:color w:val="080808"/>
                <w:lang w:val="es-419"/>
              </w:rPr>
            </w:pPr>
            <w:r w:rsidRPr="00813747">
              <w:rPr>
                <w:rFonts w:ascii="Cambria" w:eastAsia="Batang" w:hAnsi="Cambria"/>
                <w:b/>
                <w:color w:val="000000"/>
                <w:lang w:val="es-419" w:eastAsia="es-ES_tradnl"/>
              </w:rPr>
              <w:lastRenderedPageBreak/>
              <w:t>Total</w:t>
            </w:r>
            <w:r w:rsidRPr="00813747">
              <w:rPr>
                <w:rFonts w:ascii="Cambria" w:eastAsia="Batang" w:hAnsi="Cambria"/>
                <w:b/>
                <w:color w:val="000000"/>
                <w:vertAlign w:val="superscript"/>
                <w:lang w:val="es-419" w:eastAsia="es-ES_tradnl"/>
              </w:rPr>
              <w:footnoteReference w:id="3"/>
            </w:r>
          </w:p>
        </w:tc>
      </w:tr>
      <w:tr w:rsidR="003B3362" w:rsidRPr="00813747" w14:paraId="41B3CF1F" w14:textId="77777777" w:rsidTr="00B10447">
        <w:trPr>
          <w:trHeight w:val="1643"/>
          <w:jc w:val="center"/>
        </w:trPr>
        <w:tc>
          <w:tcPr>
            <w:tcW w:w="7632" w:type="dxa"/>
            <w:tcBorders>
              <w:top w:val="single" w:sz="4" w:space="0" w:color="auto"/>
              <w:left w:val="single" w:sz="4" w:space="0" w:color="auto"/>
              <w:bottom w:val="single" w:sz="4" w:space="0" w:color="auto"/>
              <w:right w:val="single" w:sz="4" w:space="0" w:color="auto"/>
            </w:tcBorders>
          </w:tcPr>
          <w:p w14:paraId="0A9DBB90" w14:textId="14E325CD" w:rsidR="00B10447" w:rsidRPr="00813747" w:rsidRDefault="00B10447" w:rsidP="00B10447">
            <w:pPr>
              <w:spacing w:after="0" w:line="240" w:lineRule="auto"/>
              <w:rPr>
                <w:rFonts w:ascii="Cambria" w:eastAsia="Batang" w:hAnsi="Cambria"/>
                <w:bCs/>
                <w:color w:val="080808"/>
                <w:lang w:val="es-419"/>
              </w:rPr>
            </w:pPr>
            <w:r w:rsidRPr="00813747">
              <w:rPr>
                <w:rFonts w:ascii="Cambria" w:eastAsia="Batang" w:hAnsi="Cambria"/>
                <w:b/>
                <w:bCs/>
                <w:color w:val="080808"/>
                <w:lang w:val="es-419"/>
              </w:rPr>
              <w:t>CUARTO: HOMOLOGACIÓN Y SEGUIMIENTO</w:t>
            </w:r>
          </w:p>
          <w:p w14:paraId="5C1B0907" w14:textId="77777777" w:rsidR="00B10447" w:rsidRPr="00813747" w:rsidRDefault="00B10447" w:rsidP="00B10447">
            <w:pPr>
              <w:spacing w:after="0" w:line="240" w:lineRule="auto"/>
              <w:rPr>
                <w:rFonts w:ascii="Cambria" w:eastAsia="Batang" w:hAnsi="Cambria"/>
                <w:bCs/>
                <w:color w:val="080808"/>
                <w:lang w:val="es-419"/>
              </w:rPr>
            </w:pPr>
          </w:p>
          <w:p w14:paraId="3228DACC" w14:textId="77777777" w:rsidR="00393013" w:rsidRDefault="00B10447" w:rsidP="00B10447">
            <w:pPr>
              <w:spacing w:after="0" w:line="240" w:lineRule="auto"/>
              <w:jc w:val="both"/>
              <w:rPr>
                <w:rFonts w:ascii="Cambria" w:eastAsia="Batang" w:hAnsi="Cambria"/>
                <w:bCs/>
                <w:color w:val="080808"/>
                <w:lang w:val="es-VE"/>
              </w:rPr>
            </w:pPr>
            <w:r w:rsidRPr="00B10447">
              <w:rPr>
                <w:rFonts w:ascii="Cambria" w:eastAsia="Batang" w:hAnsi="Cambria"/>
                <w:bCs/>
                <w:color w:val="080808"/>
                <w:lang w:val="es-VE"/>
              </w:rPr>
              <w:t>Las partes le solicitan a la Comisión Interamericana de Derechos Humanos la homologación del presente acuerdo y su seguimiento.</w:t>
            </w:r>
            <w:r w:rsidRPr="00813747">
              <w:rPr>
                <w:rFonts w:ascii="Cambria" w:eastAsia="Batang" w:hAnsi="Cambria"/>
                <w:bCs/>
                <w:color w:val="080808"/>
                <w:lang w:val="es-VE"/>
              </w:rPr>
              <w:t xml:space="preserve"> </w:t>
            </w:r>
          </w:p>
          <w:p w14:paraId="1B8B1436" w14:textId="77777777" w:rsidR="00393013" w:rsidRDefault="00B10447" w:rsidP="00B10447">
            <w:pPr>
              <w:spacing w:after="0" w:line="240" w:lineRule="auto"/>
              <w:jc w:val="both"/>
              <w:rPr>
                <w:rFonts w:ascii="Cambria" w:eastAsia="Batang" w:hAnsi="Cambria"/>
                <w:bCs/>
                <w:color w:val="080808"/>
                <w:lang w:val="es-VE"/>
              </w:rPr>
            </w:pPr>
            <w:r w:rsidRPr="00B10447">
              <w:rPr>
                <w:rFonts w:ascii="Cambria" w:eastAsia="Batang" w:hAnsi="Cambria"/>
                <w:bCs/>
                <w:color w:val="080808"/>
                <w:lang w:val="es-VE"/>
              </w:rPr>
              <w:t>Se entiende como beneficiarios del presente Acuerdo de Solución Amistosa, a las personas que se relacionan a continuación: […]</w:t>
            </w:r>
            <w:r w:rsidRPr="00813747">
              <w:rPr>
                <w:rFonts w:ascii="Cambria" w:eastAsia="Batang" w:hAnsi="Cambria"/>
                <w:bCs/>
                <w:color w:val="080808"/>
                <w:lang w:val="es-VE"/>
              </w:rPr>
              <w:t xml:space="preserve"> </w:t>
            </w:r>
          </w:p>
          <w:p w14:paraId="277DAB03" w14:textId="645E951B" w:rsidR="003B3362" w:rsidRPr="00813747" w:rsidRDefault="00B10447" w:rsidP="00B10447">
            <w:pPr>
              <w:spacing w:after="0" w:line="240" w:lineRule="auto"/>
              <w:jc w:val="both"/>
              <w:rPr>
                <w:rFonts w:ascii="Cambria" w:hAnsi="Cambria"/>
                <w:color w:val="080808"/>
                <w:lang w:val="es-419"/>
              </w:rPr>
            </w:pPr>
            <w:r w:rsidRPr="00813747">
              <w:rPr>
                <w:rFonts w:ascii="Cambria" w:eastAsia="Batang" w:hAnsi="Cambria"/>
                <w:bCs/>
                <w:color w:val="080808"/>
                <w:lang w:val="es-VE"/>
              </w:rPr>
              <w:t>Estas personas serán incluidas en el cumplimiento del Acuerdo de Solución Amistosa siempre y cuando cumplan con los requisitos exigidos por el ordenamiento jurídico colombiano, para demostrar su legitimación en la causa por activa y los daños sufridos.</w:t>
            </w:r>
          </w:p>
        </w:tc>
        <w:tc>
          <w:tcPr>
            <w:tcW w:w="1701" w:type="dxa"/>
            <w:tcBorders>
              <w:top w:val="single" w:sz="4" w:space="0" w:color="auto"/>
              <w:left w:val="single" w:sz="4" w:space="0" w:color="auto"/>
              <w:bottom w:val="single" w:sz="4" w:space="0" w:color="auto"/>
              <w:right w:val="single" w:sz="4" w:space="0" w:color="auto"/>
            </w:tcBorders>
            <w:vAlign w:val="center"/>
          </w:tcPr>
          <w:p w14:paraId="1B164DCF" w14:textId="3543260E" w:rsidR="003B3362" w:rsidRPr="00813747" w:rsidRDefault="00B10447" w:rsidP="00F024F0">
            <w:pPr>
              <w:spacing w:after="0" w:line="240" w:lineRule="auto"/>
              <w:jc w:val="center"/>
              <w:rPr>
                <w:rFonts w:ascii="Cambria" w:eastAsia="Batang" w:hAnsi="Cambria"/>
                <w:b/>
                <w:color w:val="080808"/>
                <w:lang w:val="es-419"/>
              </w:rPr>
            </w:pPr>
            <w:r w:rsidRPr="00813747">
              <w:rPr>
                <w:rFonts w:ascii="Cambria" w:eastAsia="Batang" w:hAnsi="Cambria"/>
                <w:b/>
                <w:color w:val="000000"/>
                <w:lang w:val="es-419" w:eastAsia="es-ES_tradnl"/>
              </w:rPr>
              <w:t>Cláusula Declarativa</w:t>
            </w:r>
          </w:p>
        </w:tc>
      </w:tr>
    </w:tbl>
    <w:p w14:paraId="4E918129" w14:textId="77777777" w:rsidR="000F6AC8" w:rsidRPr="00813747" w:rsidRDefault="000F6AC8" w:rsidP="000F6AC8">
      <w:pPr>
        <w:autoSpaceDE w:val="0"/>
        <w:autoSpaceDN w:val="0"/>
        <w:adjustRightInd w:val="0"/>
        <w:spacing w:after="0" w:line="240" w:lineRule="auto"/>
        <w:ind w:left="720"/>
        <w:jc w:val="both"/>
        <w:rPr>
          <w:rFonts w:ascii="Cambria" w:eastAsia="Batang" w:hAnsi="Cambria" w:cs="Calibri Light"/>
          <w:b/>
          <w:color w:val="080808"/>
          <w:lang w:val="es-419"/>
        </w:rPr>
      </w:pPr>
    </w:p>
    <w:p w14:paraId="0F7D1CEB" w14:textId="6A72BB8A" w:rsidR="003B3362" w:rsidRPr="00813747"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419"/>
        </w:rPr>
      </w:pPr>
      <w:r w:rsidRPr="00813747">
        <w:rPr>
          <w:rFonts w:ascii="Cambria" w:eastAsia="Batang" w:hAnsi="Cambria" w:cs="Calibri Light"/>
          <w:b/>
          <w:color w:val="080808"/>
          <w:lang w:val="es-419"/>
        </w:rPr>
        <w:t>NIVEL DE CUMPLIMIENTO DEL CASO</w:t>
      </w:r>
    </w:p>
    <w:p w14:paraId="4DCB2BAD" w14:textId="77777777" w:rsidR="003B3362" w:rsidRPr="00813747" w:rsidRDefault="003B3362" w:rsidP="003B3362">
      <w:pPr>
        <w:spacing w:after="0" w:line="240" w:lineRule="auto"/>
        <w:ind w:firstLine="720"/>
        <w:jc w:val="both"/>
        <w:rPr>
          <w:rFonts w:ascii="Cambria" w:eastAsia="Batang" w:hAnsi="Cambria" w:cs="Calibri Light"/>
          <w:color w:val="080808"/>
          <w:lang w:val="es-419"/>
        </w:rPr>
      </w:pPr>
    </w:p>
    <w:p w14:paraId="0657708E" w14:textId="2BB05EF8" w:rsidR="003B3362" w:rsidRPr="00555DAB" w:rsidRDefault="003B3362" w:rsidP="00555DAB">
      <w:pPr>
        <w:pStyle w:val="IASubttulo3"/>
        <w:numPr>
          <w:ilvl w:val="0"/>
          <w:numId w:val="41"/>
        </w:numPr>
        <w:spacing w:after="0"/>
        <w:ind w:left="0" w:firstLine="720"/>
        <w:jc w:val="both"/>
        <w:rPr>
          <w:bCs/>
          <w:color w:val="080808"/>
          <w:lang w:val="es-419"/>
        </w:rPr>
      </w:pPr>
      <w:r w:rsidRPr="00555DAB">
        <w:rPr>
          <w:b w:val="0"/>
          <w:bCs/>
          <w:color w:val="080808"/>
          <w:lang w:val="es-419"/>
        </w:rPr>
        <w:t>La Comisión declaró el cumplimiento total del asunto y el cese del seguimiento del acuerdo de solución amistosa en el Informe Anual de 202</w:t>
      </w:r>
      <w:r w:rsidR="000F6AC8" w:rsidRPr="00555DAB">
        <w:rPr>
          <w:b w:val="0"/>
          <w:bCs/>
          <w:color w:val="080808"/>
          <w:lang w:val="es-419"/>
        </w:rPr>
        <w:t>3</w:t>
      </w:r>
      <w:r w:rsidRPr="00555DAB">
        <w:rPr>
          <w:b w:val="0"/>
          <w:bCs/>
          <w:color w:val="080808"/>
          <w:lang w:val="es-419"/>
        </w:rPr>
        <w:t>.</w:t>
      </w:r>
    </w:p>
    <w:p w14:paraId="6385AFDB" w14:textId="77777777" w:rsidR="003B3362" w:rsidRPr="00813747" w:rsidRDefault="003B3362" w:rsidP="003B3362">
      <w:pPr>
        <w:spacing w:after="0" w:line="240" w:lineRule="auto"/>
        <w:ind w:firstLine="720"/>
        <w:jc w:val="both"/>
        <w:rPr>
          <w:rFonts w:ascii="Cambria" w:eastAsia="Batang" w:hAnsi="Cambria" w:cs="Calibri Light"/>
          <w:b/>
          <w:color w:val="080808"/>
          <w:lang w:val="es-419"/>
        </w:rPr>
      </w:pPr>
    </w:p>
    <w:p w14:paraId="1AB84E36" w14:textId="77777777" w:rsidR="003B3362" w:rsidRPr="00813747"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419"/>
        </w:rPr>
      </w:pPr>
      <w:r w:rsidRPr="00813747">
        <w:rPr>
          <w:rFonts w:ascii="Cambria" w:eastAsia="Batang" w:hAnsi="Cambria" w:cs="Calibri Light"/>
          <w:b/>
          <w:color w:val="080808"/>
          <w:lang w:val="es-419"/>
        </w:rPr>
        <w:t xml:space="preserve">RESULTADOS INDIVIDUALES Y ESTRUCTURALES DEL CASO </w:t>
      </w:r>
    </w:p>
    <w:p w14:paraId="2B9D2571" w14:textId="77777777" w:rsidR="003B3362" w:rsidRPr="00813747" w:rsidRDefault="003B3362" w:rsidP="003B3362">
      <w:pPr>
        <w:spacing w:after="0" w:line="240" w:lineRule="auto"/>
        <w:ind w:firstLine="720"/>
        <w:contextualSpacing/>
        <w:jc w:val="both"/>
        <w:rPr>
          <w:rFonts w:ascii="Cambria" w:eastAsia="Batang" w:hAnsi="Cambria" w:cs="Calibri Light"/>
          <w:b/>
          <w:color w:val="080808"/>
          <w:lang w:val="es-419"/>
        </w:rPr>
      </w:pPr>
    </w:p>
    <w:p w14:paraId="46B21FE4" w14:textId="77777777" w:rsidR="003B3362" w:rsidRPr="00813747" w:rsidRDefault="003B3362" w:rsidP="003B3362">
      <w:pPr>
        <w:numPr>
          <w:ilvl w:val="1"/>
          <w:numId w:val="37"/>
        </w:numPr>
        <w:spacing w:after="0" w:line="240" w:lineRule="auto"/>
        <w:ind w:left="0" w:firstLine="720"/>
        <w:contextualSpacing/>
        <w:jc w:val="both"/>
        <w:rPr>
          <w:rFonts w:ascii="Cambria" w:eastAsia="Batang" w:hAnsi="Cambria" w:cs="Calibri Light"/>
          <w:b/>
          <w:color w:val="080808"/>
          <w:lang w:val="es-419"/>
        </w:rPr>
      </w:pPr>
      <w:r w:rsidRPr="00813747">
        <w:rPr>
          <w:rFonts w:ascii="Cambria" w:eastAsia="Batang" w:hAnsi="Cambria" w:cs="Calibri Light"/>
          <w:b/>
          <w:color w:val="080808"/>
          <w:lang w:val="es-419"/>
        </w:rPr>
        <w:t>Resultados individuales del caso</w:t>
      </w:r>
    </w:p>
    <w:p w14:paraId="3A7E3E60" w14:textId="77777777" w:rsidR="003B3362" w:rsidRPr="00813747" w:rsidRDefault="003B3362" w:rsidP="003B3362">
      <w:pPr>
        <w:spacing w:after="0" w:line="240" w:lineRule="auto"/>
        <w:ind w:left="1440" w:hanging="720"/>
        <w:contextualSpacing/>
        <w:jc w:val="both"/>
        <w:rPr>
          <w:rFonts w:ascii="Cambria" w:eastAsia="Batang" w:hAnsi="Cambria" w:cs="Calibri Light"/>
          <w:b/>
          <w:color w:val="080808"/>
          <w:lang w:val="es-419"/>
        </w:rPr>
      </w:pPr>
    </w:p>
    <w:p w14:paraId="05A45CF3" w14:textId="77777777" w:rsidR="00813747" w:rsidRPr="00813747" w:rsidRDefault="00813747" w:rsidP="00813747">
      <w:pPr>
        <w:numPr>
          <w:ilvl w:val="0"/>
          <w:numId w:val="16"/>
        </w:numPr>
        <w:spacing w:after="0" w:line="240" w:lineRule="auto"/>
        <w:ind w:left="1440" w:hanging="720"/>
        <w:contextualSpacing/>
        <w:jc w:val="both"/>
        <w:rPr>
          <w:rFonts w:ascii="Cambria" w:hAnsi="Cambria"/>
          <w:lang w:val="es-CO"/>
        </w:rPr>
      </w:pPr>
      <w:r w:rsidRPr="00813747">
        <w:rPr>
          <w:rFonts w:ascii="Cambria" w:eastAsia="Batang" w:hAnsi="Cambria"/>
          <w:color w:val="000000"/>
          <w:lang w:val="es-ES"/>
        </w:rPr>
        <w:t xml:space="preserve">El Estado realizó el acto de reconocimiento de responsabilidad en modalidad virtual y de común acuerdo entre las partes, el cual tuvo </w:t>
      </w:r>
      <w:r w:rsidRPr="00813747">
        <w:rPr>
          <w:rFonts w:ascii="Cambria" w:hAnsi="Cambria"/>
          <w:lang w:val="es-CO"/>
        </w:rPr>
        <w:t>cobertura a través de redes sociales de las instituciones del Estado, y de la plataforma de YouTube.</w:t>
      </w:r>
    </w:p>
    <w:p w14:paraId="0D8E96DE" w14:textId="77777777" w:rsidR="00813747" w:rsidRPr="00813747" w:rsidRDefault="00813747" w:rsidP="00813747">
      <w:pPr>
        <w:numPr>
          <w:ilvl w:val="0"/>
          <w:numId w:val="16"/>
        </w:numPr>
        <w:spacing w:after="0" w:line="240" w:lineRule="auto"/>
        <w:ind w:left="1440" w:hanging="720"/>
        <w:contextualSpacing/>
        <w:jc w:val="both"/>
        <w:rPr>
          <w:rFonts w:ascii="Cambria" w:hAnsi="Cambria"/>
          <w:sz w:val="20"/>
          <w:szCs w:val="20"/>
          <w:lang w:val="es-CO"/>
        </w:rPr>
      </w:pPr>
      <w:r w:rsidRPr="00813747">
        <w:rPr>
          <w:rFonts w:ascii="Cambria" w:hAnsi="Cambria"/>
          <w:lang w:val="es-CO"/>
        </w:rPr>
        <w:t xml:space="preserve">En </w:t>
      </w:r>
      <w:r w:rsidRPr="00813747">
        <w:rPr>
          <w:rFonts w:ascii="Cambria" w:hAnsi="Cambria"/>
          <w:color w:val="000000"/>
          <w:lang w:val="es-CO"/>
        </w:rPr>
        <w:t>el marco del procedimiento establecido en la Ley 288/96, el Estado realizó el pago de la indemnización a los beneficiarios del acuerdo de solución amistosa, mediante resolución No. 539 del 13 de marzo de 2023, por un monto total de $</w:t>
      </w:r>
      <w:r w:rsidRPr="00813747">
        <w:rPr>
          <w:rFonts w:ascii="Cambria" w:hAnsi="Cambria"/>
          <w:lang w:val="es-VE"/>
        </w:rPr>
        <w:t xml:space="preserve">1.448.237.768,81 </w:t>
      </w:r>
      <w:r w:rsidRPr="00813747">
        <w:rPr>
          <w:rFonts w:ascii="Cambria" w:hAnsi="Cambria"/>
          <w:iCs/>
          <w:color w:val="000000"/>
          <w:lang w:val="es-CO"/>
        </w:rPr>
        <w:t>pesos</w:t>
      </w:r>
      <w:r w:rsidRPr="00813747">
        <w:rPr>
          <w:rFonts w:ascii="Cambria" w:hAnsi="Cambria"/>
          <w:iCs/>
          <w:color w:val="000000"/>
          <w:sz w:val="20"/>
          <w:szCs w:val="20"/>
          <w:lang w:val="es-CO"/>
        </w:rPr>
        <w:t>.</w:t>
      </w:r>
    </w:p>
    <w:p w14:paraId="635DC6B1" w14:textId="77777777" w:rsidR="003B3362" w:rsidRPr="00813747" w:rsidRDefault="003B3362" w:rsidP="003B3362">
      <w:pPr>
        <w:tabs>
          <w:tab w:val="left" w:pos="0"/>
        </w:tabs>
        <w:spacing w:after="0" w:line="240" w:lineRule="auto"/>
        <w:ind w:left="720"/>
        <w:contextualSpacing/>
        <w:jc w:val="both"/>
        <w:rPr>
          <w:rFonts w:ascii="Cambria" w:hAnsi="Cambria"/>
          <w:color w:val="080808"/>
          <w:lang w:val="es-419"/>
        </w:rPr>
      </w:pPr>
    </w:p>
    <w:p w14:paraId="1F9C60CD" w14:textId="77777777" w:rsidR="003B3362" w:rsidRPr="00813747" w:rsidRDefault="003B3362" w:rsidP="003B3362">
      <w:pPr>
        <w:numPr>
          <w:ilvl w:val="1"/>
          <w:numId w:val="37"/>
        </w:numPr>
        <w:spacing w:after="0" w:line="240" w:lineRule="auto"/>
        <w:ind w:left="0" w:firstLine="720"/>
        <w:contextualSpacing/>
        <w:jc w:val="both"/>
        <w:rPr>
          <w:rFonts w:ascii="Cambria" w:eastAsia="Batang" w:hAnsi="Cambria" w:cs="Calibri Light"/>
          <w:b/>
          <w:color w:val="080808"/>
          <w:lang w:val="es-419"/>
        </w:rPr>
      </w:pPr>
      <w:r w:rsidRPr="00813747">
        <w:rPr>
          <w:rFonts w:ascii="Cambria" w:eastAsia="Batang" w:hAnsi="Cambria" w:cs="Calibri Light"/>
          <w:b/>
          <w:color w:val="080808"/>
          <w:lang w:val="es-419"/>
        </w:rPr>
        <w:t>Resultados estructurales del caso</w:t>
      </w:r>
    </w:p>
    <w:p w14:paraId="4D3A4C8C" w14:textId="77777777" w:rsidR="003B3362" w:rsidRPr="00813747" w:rsidRDefault="003B3362" w:rsidP="003B3362">
      <w:pPr>
        <w:tabs>
          <w:tab w:val="left" w:pos="0"/>
        </w:tabs>
        <w:spacing w:after="0" w:line="240" w:lineRule="auto"/>
        <w:contextualSpacing/>
        <w:jc w:val="both"/>
        <w:rPr>
          <w:rFonts w:ascii="Cambria" w:eastAsia="Batang" w:hAnsi="Cambria" w:cs="Calibri Light"/>
          <w:color w:val="080808"/>
          <w:lang w:val="es-419"/>
        </w:rPr>
      </w:pPr>
    </w:p>
    <w:p w14:paraId="2E5E321A" w14:textId="54853A76" w:rsidR="00813747" w:rsidRDefault="00813747" w:rsidP="00813747">
      <w:pPr>
        <w:numPr>
          <w:ilvl w:val="0"/>
          <w:numId w:val="36"/>
        </w:numPr>
        <w:spacing w:after="0" w:line="240" w:lineRule="auto"/>
        <w:ind w:left="1440" w:right="72" w:hanging="720"/>
        <w:jc w:val="both"/>
        <w:rPr>
          <w:rFonts w:ascii="Cambria" w:eastAsia="MS Mincho" w:hAnsi="Cambria"/>
          <w:color w:val="000000"/>
          <w:lang w:val="es-419" w:eastAsia="es-ES_tradnl"/>
        </w:rPr>
      </w:pPr>
      <w:r w:rsidRPr="00813747">
        <w:rPr>
          <w:rFonts w:ascii="Cambria" w:eastAsia="Times New Roman" w:hAnsi="Cambria"/>
          <w:lang w:val="es-CO" w:eastAsia="es-ES_tradnl"/>
        </w:rPr>
        <w:t>El Estado publicó el Informe Artículo 49, en la página web de la Agencia Nacional de Defensa Jurídica del Estado</w:t>
      </w:r>
      <w:r w:rsidR="003B3362" w:rsidRPr="00813747">
        <w:rPr>
          <w:rFonts w:ascii="Cambria" w:eastAsia="Times New Roman" w:hAnsi="Cambria"/>
          <w:lang w:val="es-419" w:eastAsia="es-ES_tradnl"/>
        </w:rPr>
        <w:t>.</w:t>
      </w:r>
    </w:p>
    <w:p w14:paraId="0BF76F10" w14:textId="77777777" w:rsidR="00813747" w:rsidRPr="00813747" w:rsidRDefault="00813747" w:rsidP="00813747">
      <w:pPr>
        <w:spacing w:after="0" w:line="240" w:lineRule="auto"/>
        <w:ind w:right="72"/>
        <w:jc w:val="both"/>
        <w:rPr>
          <w:rFonts w:ascii="Cambria" w:eastAsia="MS Mincho" w:hAnsi="Cambria"/>
          <w:color w:val="000000"/>
          <w:lang w:val="es-419" w:eastAsia="es-ES_tradnl"/>
        </w:rPr>
      </w:pPr>
    </w:p>
    <w:sectPr w:rsidR="00813747" w:rsidRPr="00813747" w:rsidSect="00555DAB">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A070" w14:textId="77777777" w:rsidR="00454C8D" w:rsidRDefault="00454C8D" w:rsidP="00A343FF">
      <w:pPr>
        <w:spacing w:after="0" w:line="240" w:lineRule="auto"/>
      </w:pPr>
      <w:r>
        <w:separator/>
      </w:r>
    </w:p>
  </w:endnote>
  <w:endnote w:type="continuationSeparator" w:id="0">
    <w:p w14:paraId="087334F2" w14:textId="77777777" w:rsidR="00454C8D" w:rsidRDefault="00454C8D"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0670" w14:textId="785259AC" w:rsidR="00653E86" w:rsidRDefault="00B4648A" w:rsidP="00653E86">
    <w:pPr>
      <w:pStyle w:val="Footer"/>
      <w:spacing w:line="360" w:lineRule="auto"/>
      <w:jc w:val="right"/>
    </w:pPr>
    <w:r>
      <w:rPr>
        <w:noProof/>
      </w:rPr>
      <w:pict w14:anchorId="033BD3EE">
        <v:rect id="_x0000_i1027" alt="" style="width:441.9pt;height:.05pt;mso-width-percent:0;mso-height-percent:0;mso-width-percent:0;mso-height-percent:0" o:hralign="center" o:hrstd="t" o:hr="t" fillcolor="#a0a0a0" stroked="f"/>
      </w:pict>
    </w:r>
  </w:p>
  <w:p w14:paraId="4B89BA46" w14:textId="77777777" w:rsidR="00653E86" w:rsidRDefault="00653E86" w:rsidP="00653E86">
    <w:pPr>
      <w:pStyle w:val="Footer"/>
      <w:jc w:val="center"/>
    </w:pPr>
    <w:r w:rsidRPr="008A5CB5">
      <w:rPr>
        <w:noProof/>
      </w:rPr>
      <w:drawing>
        <wp:inline distT="0" distB="0" distL="0" distR="0" wp14:anchorId="18F4B687" wp14:editId="7F0B0F70">
          <wp:extent cx="5114925" cy="323850"/>
          <wp:effectExtent l="0" t="0" r="9525" b="0"/>
          <wp:docPr id="15" name="Picture 1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p w14:paraId="7DBBFA20" w14:textId="77777777" w:rsidR="00653E86" w:rsidRDefault="00653E86" w:rsidP="00653E86">
    <w:pPr>
      <w:pStyle w:val="Footer"/>
    </w:pPr>
  </w:p>
  <w:p w14:paraId="679C2F60" w14:textId="2F7790A4" w:rsidR="006D50F3" w:rsidRDefault="006D50F3" w:rsidP="00555DAB">
    <w:pPr>
      <w:pStyle w:val="Footer"/>
      <w:tabs>
        <w:tab w:val="clear" w:pos="4680"/>
        <w:tab w:val="clear" w:pos="9360"/>
        <w:tab w:val="left" w:pos="17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8B7F" w14:textId="77777777" w:rsidR="00454C8D" w:rsidRDefault="00454C8D" w:rsidP="00A343FF">
      <w:pPr>
        <w:spacing w:after="0" w:line="240" w:lineRule="auto"/>
      </w:pPr>
      <w:r>
        <w:separator/>
      </w:r>
    </w:p>
  </w:footnote>
  <w:footnote w:type="continuationSeparator" w:id="0">
    <w:p w14:paraId="1546E764" w14:textId="77777777" w:rsidR="00454C8D" w:rsidRDefault="00454C8D" w:rsidP="00A343FF">
      <w:pPr>
        <w:spacing w:after="0" w:line="240" w:lineRule="auto"/>
      </w:pPr>
      <w:r>
        <w:continuationSeparator/>
      </w:r>
    </w:p>
  </w:footnote>
  <w:footnote w:id="1">
    <w:p w14:paraId="5EDEB902" w14:textId="77777777" w:rsidR="00B10447" w:rsidRPr="00B10447" w:rsidRDefault="00B10447" w:rsidP="00B10447">
      <w:pPr>
        <w:pStyle w:val="FootnoteText"/>
        <w:spacing w:after="0"/>
        <w:ind w:firstLine="720"/>
        <w:jc w:val="both"/>
        <w:rPr>
          <w:rFonts w:ascii="Cambria" w:hAnsi="Cambria"/>
          <w:szCs w:val="16"/>
          <w:lang w:val="es-VE"/>
        </w:rPr>
      </w:pPr>
      <w:r w:rsidRPr="00B10447">
        <w:rPr>
          <w:rStyle w:val="FootnoteReference"/>
          <w:rFonts w:ascii="Cambria" w:hAnsi="Cambria"/>
          <w:sz w:val="16"/>
          <w:szCs w:val="12"/>
        </w:rPr>
        <w:footnoteRef/>
      </w:r>
      <w:r w:rsidRPr="00B10447">
        <w:rPr>
          <w:rFonts w:ascii="Cambria" w:hAnsi="Cambria"/>
          <w:sz w:val="16"/>
          <w:szCs w:val="12"/>
          <w:lang w:val="es-VE"/>
        </w:rPr>
        <w:t xml:space="preserve"> CIDH. </w:t>
      </w:r>
      <w:r w:rsidRPr="00B10447">
        <w:rPr>
          <w:rFonts w:ascii="Cambria" w:hAnsi="Cambria"/>
          <w:sz w:val="16"/>
          <w:szCs w:val="12"/>
          <w:lang w:val="es-ES"/>
        </w:rPr>
        <w:t xml:space="preserve">CIDH, </w:t>
      </w:r>
      <w:r w:rsidRPr="00B10447">
        <w:rPr>
          <w:rFonts w:ascii="Cambria" w:hAnsi="Cambria"/>
          <w:i/>
          <w:iCs/>
          <w:sz w:val="16"/>
          <w:szCs w:val="12"/>
          <w:lang w:val="es-ES"/>
        </w:rPr>
        <w:t>Informe Anual 2021</w:t>
      </w:r>
      <w:r w:rsidRPr="00B10447">
        <w:rPr>
          <w:rFonts w:ascii="Cambria" w:hAnsi="Cambria"/>
          <w:sz w:val="16"/>
          <w:szCs w:val="12"/>
          <w:lang w:val="es-ES"/>
        </w:rPr>
        <w:t xml:space="preserve">, Capítulo II, Sección F. Negociación e implementación de acuerdos de solución amistosa. </w:t>
      </w:r>
      <w:r w:rsidRPr="00B10447">
        <w:rPr>
          <w:rFonts w:ascii="Cambria" w:hAnsi="Cambria"/>
          <w:sz w:val="16"/>
          <w:szCs w:val="12"/>
          <w:lang w:val="es-CO"/>
        </w:rPr>
        <w:t>Disponible en</w:t>
      </w:r>
      <w:r w:rsidRPr="00B10447">
        <w:rPr>
          <w:rFonts w:ascii="Cambria" w:hAnsi="Cambria"/>
          <w:sz w:val="16"/>
          <w:szCs w:val="12"/>
          <w:lang w:val="es-VE"/>
        </w:rPr>
        <w:t xml:space="preserve"> </w:t>
      </w:r>
      <w:hyperlink r:id="rId1" w:history="1">
        <w:r w:rsidRPr="00B10447">
          <w:rPr>
            <w:rStyle w:val="Hyperlink"/>
            <w:rFonts w:ascii="Cambria" w:hAnsi="Cambria"/>
            <w:sz w:val="16"/>
            <w:szCs w:val="12"/>
            <w:lang w:val="es-VE"/>
          </w:rPr>
          <w:t>https://www.oas.org/es/cidh/docs/anual/2021/capitulos/IA2021cap2-es.pdf</w:t>
        </w:r>
      </w:hyperlink>
      <w:r w:rsidRPr="00B10447">
        <w:rPr>
          <w:rFonts w:ascii="Cambria" w:hAnsi="Cambria"/>
          <w:sz w:val="16"/>
          <w:szCs w:val="12"/>
          <w:lang w:val="es-VE"/>
        </w:rPr>
        <w:t>.</w:t>
      </w:r>
    </w:p>
  </w:footnote>
  <w:footnote w:id="2">
    <w:p w14:paraId="0621C416" w14:textId="7440F958" w:rsidR="003B3362" w:rsidRPr="00254A60" w:rsidRDefault="003B3362" w:rsidP="00254A60">
      <w:pPr>
        <w:pStyle w:val="FootnoteText"/>
        <w:spacing w:after="0" w:line="240" w:lineRule="auto"/>
        <w:ind w:firstLine="709"/>
        <w:jc w:val="both"/>
        <w:rPr>
          <w:rFonts w:ascii="Cambria" w:hAnsi="Cambria"/>
          <w:sz w:val="16"/>
          <w:szCs w:val="16"/>
          <w:lang w:val="es-ES"/>
        </w:rPr>
      </w:pPr>
      <w:r w:rsidRPr="00254A60">
        <w:rPr>
          <w:rStyle w:val="FootnoteReference"/>
          <w:rFonts w:ascii="Cambria" w:hAnsi="Cambria"/>
          <w:sz w:val="16"/>
          <w:szCs w:val="16"/>
        </w:rPr>
        <w:footnoteRef/>
      </w:r>
      <w:r w:rsidR="00B10447" w:rsidRPr="00B10447">
        <w:rPr>
          <w:rFonts w:ascii="Cambria" w:hAnsi="Cambria"/>
          <w:sz w:val="16"/>
          <w:szCs w:val="12"/>
          <w:lang w:val="es-VE"/>
        </w:rPr>
        <w:t xml:space="preserve">CIDH. </w:t>
      </w:r>
      <w:r w:rsidR="00B10447" w:rsidRPr="00B10447">
        <w:rPr>
          <w:rFonts w:ascii="Cambria" w:hAnsi="Cambria"/>
          <w:sz w:val="16"/>
          <w:szCs w:val="12"/>
          <w:lang w:val="es-ES"/>
        </w:rPr>
        <w:t xml:space="preserve">CIDH, </w:t>
      </w:r>
      <w:r w:rsidR="00B10447" w:rsidRPr="00B10447">
        <w:rPr>
          <w:rFonts w:ascii="Cambria" w:hAnsi="Cambria"/>
          <w:i/>
          <w:iCs/>
          <w:sz w:val="16"/>
          <w:szCs w:val="12"/>
          <w:lang w:val="es-ES"/>
        </w:rPr>
        <w:t>Informe Anual 2021</w:t>
      </w:r>
      <w:r w:rsidR="00B10447" w:rsidRPr="00B10447">
        <w:rPr>
          <w:rFonts w:ascii="Cambria" w:hAnsi="Cambria"/>
          <w:sz w:val="16"/>
          <w:szCs w:val="12"/>
          <w:lang w:val="es-ES"/>
        </w:rPr>
        <w:t xml:space="preserve">, Capítulo II, Sección F. Negociación e implementación de acuerdos de solución amistosa. </w:t>
      </w:r>
      <w:r w:rsidR="00B10447" w:rsidRPr="00B10447">
        <w:rPr>
          <w:rFonts w:ascii="Cambria" w:hAnsi="Cambria"/>
          <w:sz w:val="16"/>
          <w:szCs w:val="12"/>
          <w:lang w:val="es-CO"/>
        </w:rPr>
        <w:t>Disponible en</w:t>
      </w:r>
      <w:r w:rsidR="00B10447" w:rsidRPr="00B10447">
        <w:rPr>
          <w:rFonts w:ascii="Cambria" w:hAnsi="Cambria"/>
          <w:sz w:val="16"/>
          <w:szCs w:val="12"/>
          <w:lang w:val="es-VE"/>
        </w:rPr>
        <w:t xml:space="preserve"> </w:t>
      </w:r>
      <w:hyperlink r:id="rId2" w:history="1">
        <w:r w:rsidR="00B10447" w:rsidRPr="00B10447">
          <w:rPr>
            <w:rStyle w:val="Hyperlink"/>
            <w:rFonts w:ascii="Cambria" w:hAnsi="Cambria"/>
            <w:sz w:val="16"/>
            <w:szCs w:val="12"/>
            <w:lang w:val="es-VE"/>
          </w:rPr>
          <w:t>https://www.oas.org/es/cidh/docs/anual/2021/capitulos/IA2021cap2-es.pdf</w:t>
        </w:r>
      </w:hyperlink>
      <w:r w:rsidR="00B10447" w:rsidRPr="00B10447">
        <w:rPr>
          <w:rFonts w:ascii="Cambria" w:hAnsi="Cambria"/>
          <w:sz w:val="16"/>
          <w:szCs w:val="12"/>
          <w:lang w:val="es-VE"/>
        </w:rPr>
        <w:t>.</w:t>
      </w:r>
    </w:p>
  </w:footnote>
  <w:footnote w:id="3">
    <w:p w14:paraId="4BEEB7FF" w14:textId="77777777" w:rsidR="00E8252A" w:rsidRPr="00B741BC" w:rsidRDefault="003B3362" w:rsidP="00555DAB">
      <w:pPr>
        <w:ind w:firstLine="720"/>
        <w:jc w:val="both"/>
      </w:pPr>
      <w:r w:rsidRPr="00254A60">
        <w:rPr>
          <w:rStyle w:val="FootnoteReference"/>
          <w:rFonts w:ascii="Cambria" w:hAnsi="Cambria"/>
          <w:color w:val="000000" w:themeColor="text1"/>
          <w:sz w:val="16"/>
          <w:szCs w:val="16"/>
        </w:rPr>
        <w:footnoteRef/>
      </w:r>
      <w:r w:rsidRPr="000F6AC8">
        <w:rPr>
          <w:rFonts w:ascii="Cambria" w:hAnsi="Cambria"/>
          <w:color w:val="000000" w:themeColor="text1"/>
          <w:sz w:val="16"/>
          <w:szCs w:val="16"/>
          <w:lang w:val="es-US"/>
        </w:rPr>
        <w:t xml:space="preserve"> </w:t>
      </w:r>
      <w:r w:rsidR="00B10447" w:rsidRPr="00B10447">
        <w:rPr>
          <w:rFonts w:ascii="Cambria" w:hAnsi="Cambria"/>
          <w:color w:val="000000" w:themeColor="text1"/>
          <w:sz w:val="16"/>
          <w:szCs w:val="16"/>
          <w:lang w:val="es-VE"/>
        </w:rPr>
        <w:t xml:space="preserve">CIDH. </w:t>
      </w:r>
      <w:r w:rsidR="00B10447" w:rsidRPr="00B10447">
        <w:rPr>
          <w:rFonts w:ascii="Cambria" w:hAnsi="Cambria"/>
          <w:color w:val="000000" w:themeColor="text1"/>
          <w:sz w:val="16"/>
          <w:szCs w:val="16"/>
          <w:lang w:val="es-ES"/>
        </w:rPr>
        <w:t xml:space="preserve">CIDH, </w:t>
      </w:r>
      <w:r w:rsidR="00B10447" w:rsidRPr="00B10447">
        <w:rPr>
          <w:rFonts w:ascii="Cambria" w:hAnsi="Cambria"/>
          <w:i/>
          <w:iCs/>
          <w:color w:val="000000" w:themeColor="text1"/>
          <w:sz w:val="16"/>
          <w:szCs w:val="16"/>
          <w:lang w:val="es-ES"/>
        </w:rPr>
        <w:t>Informe Anual 202</w:t>
      </w:r>
      <w:r w:rsidR="00B10447">
        <w:rPr>
          <w:rFonts w:ascii="Cambria" w:hAnsi="Cambria"/>
          <w:i/>
          <w:iCs/>
          <w:color w:val="000000" w:themeColor="text1"/>
          <w:sz w:val="16"/>
          <w:szCs w:val="16"/>
          <w:lang w:val="es-ES"/>
        </w:rPr>
        <w:t>3</w:t>
      </w:r>
      <w:r w:rsidR="00B10447" w:rsidRPr="00B10447">
        <w:rPr>
          <w:rFonts w:ascii="Cambria" w:hAnsi="Cambria"/>
          <w:color w:val="000000" w:themeColor="text1"/>
          <w:sz w:val="16"/>
          <w:szCs w:val="16"/>
          <w:lang w:val="es-ES"/>
        </w:rPr>
        <w:t xml:space="preserve">, Capítulo II, Sección </w:t>
      </w:r>
      <w:r w:rsidR="00E8252A" w:rsidRPr="00731432">
        <w:rPr>
          <w:rFonts w:ascii="Cambria" w:hAnsi="Cambria"/>
          <w:sz w:val="16"/>
          <w:szCs w:val="16"/>
          <w:lang w:val="es-US"/>
        </w:rPr>
        <w:t xml:space="preserve">C. Avances </w:t>
      </w:r>
      <w:r w:rsidR="00E8252A" w:rsidRPr="00731432">
        <w:rPr>
          <w:rFonts w:ascii="Cambria" w:hAnsi="Cambria"/>
          <w:color w:val="000000" w:themeColor="text1"/>
          <w:sz w:val="16"/>
          <w:szCs w:val="16"/>
          <w:lang w:val="es-US"/>
        </w:rPr>
        <w:t xml:space="preserve">y retrocesos en materia de </w:t>
      </w:r>
      <w:r w:rsidR="00E8252A" w:rsidRPr="00731432">
        <w:rPr>
          <w:rFonts w:ascii="Cambria" w:hAnsi="Cambria"/>
          <w:color w:val="000000" w:themeColor="text1"/>
          <w:sz w:val="16"/>
          <w:szCs w:val="16"/>
          <w:lang w:val="es-ES"/>
        </w:rPr>
        <w:t xml:space="preserve">negociación e implementación de acuerdos de solución amistosa. </w:t>
      </w:r>
      <w:r w:rsidR="00E8252A" w:rsidRPr="00731432">
        <w:rPr>
          <w:rFonts w:ascii="Cambria" w:hAnsi="Cambria"/>
          <w:color w:val="000000" w:themeColor="text1"/>
          <w:sz w:val="16"/>
          <w:szCs w:val="16"/>
          <w:lang w:val="es-CO"/>
        </w:rPr>
        <w:t>Disponible en</w:t>
      </w:r>
      <w:r w:rsidR="00E8252A" w:rsidRPr="00731432">
        <w:rPr>
          <w:rFonts w:ascii="Cambria" w:hAnsi="Cambria"/>
          <w:sz w:val="16"/>
          <w:szCs w:val="16"/>
          <w:lang w:val="es-ES"/>
        </w:rPr>
        <w:t xml:space="preserve">: </w:t>
      </w:r>
      <w:hyperlink r:id="rId3" w:history="1">
        <w:r w:rsidR="00E8252A" w:rsidRPr="00731432">
          <w:rPr>
            <w:rStyle w:val="Hyperlink"/>
            <w:rFonts w:ascii="Cambria" w:hAnsi="Cambria"/>
            <w:sz w:val="16"/>
            <w:szCs w:val="16"/>
            <w:lang w:val="es-ES"/>
          </w:rPr>
          <w:t>https://www.oas.org/es/cidh/docs/anual/2023/capitulos/IA2023_Cap_2_SPA.PDF</w:t>
        </w:r>
      </w:hyperlink>
    </w:p>
    <w:p w14:paraId="586C369D" w14:textId="2221DC51" w:rsidR="003B3362" w:rsidRPr="00254A60" w:rsidRDefault="003B3362" w:rsidP="00254A60">
      <w:pPr>
        <w:pStyle w:val="FootnoteText"/>
        <w:spacing w:after="0" w:line="240" w:lineRule="auto"/>
        <w:ind w:firstLine="709"/>
        <w:jc w:val="both"/>
        <w:rPr>
          <w:rFonts w:ascii="Cambria" w:hAnsi="Cambria"/>
          <w:color w:val="000000" w:themeColor="text1"/>
          <w:sz w:val="16"/>
          <w:szCs w:val="16"/>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D16C" w14:textId="77777777" w:rsidR="00EC6C48" w:rsidRPr="0058688A" w:rsidRDefault="00EC6C48" w:rsidP="00EC6C48">
    <w:pPr>
      <w:pStyle w:val="Header"/>
      <w:jc w:val="center"/>
      <w:rPr>
        <w:lang w:val="es-ES_tradnl"/>
      </w:rPr>
    </w:pPr>
    <w:bookmarkStart w:id="1" w:name="_Hlk129860815"/>
    <w:bookmarkStart w:id="2" w:name="_Hlk129860816"/>
    <w:r>
      <w:rPr>
        <w:noProof/>
        <w:lang w:val="es-ES_tradnl"/>
      </w:rPr>
      <w:drawing>
        <wp:inline distT="0" distB="0" distL="0" distR="0" wp14:anchorId="6ACA2274" wp14:editId="67989EAB">
          <wp:extent cx="22860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5C62E31D" w14:textId="77777777" w:rsidR="00EC6C48" w:rsidRDefault="00B4648A" w:rsidP="00EC6C48">
    <w:pPr>
      <w:pStyle w:val="Header"/>
    </w:pPr>
    <w:r>
      <w:rPr>
        <w:noProof/>
      </w:rPr>
      <w:pict w14:anchorId="57E90C2C">
        <v:rect id="_x0000_i1025" alt="" style="width:441.9pt;height:.05pt;mso-width-percent:0;mso-height-percent:0;mso-width-percent:0;mso-height-percent:0" o:hralign="center" o:hrstd="t" o:hr="t" fillcolor="#a0a0a0" stroked="f"/>
      </w:pict>
    </w:r>
    <w:bookmarkEnd w:id="1"/>
    <w:bookmarkEnd w:id="2"/>
  </w:p>
  <w:p w14:paraId="145B7244" w14:textId="77777777" w:rsidR="006D50F3" w:rsidRDefault="006D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2CE4" w14:textId="77777777" w:rsidR="00842D95" w:rsidRDefault="00842D95" w:rsidP="00842D95">
    <w:pPr>
      <w:pStyle w:val="Header"/>
    </w:pPr>
    <w:r w:rsidRPr="008A5CB5">
      <w:rPr>
        <w:noProof/>
      </w:rPr>
      <w:drawing>
        <wp:inline distT="0" distB="0" distL="0" distR="0" wp14:anchorId="033ED482" wp14:editId="1C6B34E1">
          <wp:extent cx="2352675" cy="457200"/>
          <wp:effectExtent l="0" t="0" r="9525" b="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57D85150" wp14:editId="20B45609">
          <wp:extent cx="19431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662BF414" w14:textId="77777777" w:rsidR="00842D95" w:rsidRDefault="00B4648A" w:rsidP="00842D95">
    <w:pPr>
      <w:pStyle w:val="Header"/>
    </w:pPr>
    <w:r>
      <w:rPr>
        <w:noProof/>
      </w:rPr>
      <w:pict w14:anchorId="6FBC4B7F">
        <v:rect id="_x0000_i1026" alt="" style="width:441.9pt;height:.05pt;mso-width-percent:0;mso-height-percent:0;mso-width-percent:0;mso-height-percent:0" o:hralign="center" o:hrstd="t" o:hr="t" fillcolor="#a0a0a0" stroked="f"/>
      </w:pict>
    </w:r>
  </w:p>
  <w:p w14:paraId="03C438F4" w14:textId="77777777" w:rsidR="006D50F3" w:rsidRDefault="006D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29AE70A2"/>
    <w:lvl w:ilvl="0" w:tplc="7F9292C0">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9606FA7"/>
    <w:multiLevelType w:val="hybridMultilevel"/>
    <w:tmpl w:val="8294F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8"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7"/>
  </w:num>
  <w:num w:numId="2" w16cid:durableId="1198784672">
    <w:abstractNumId w:val="3"/>
  </w:num>
  <w:num w:numId="3" w16cid:durableId="946815819">
    <w:abstractNumId w:val="36"/>
  </w:num>
  <w:num w:numId="4" w16cid:durableId="1735083488">
    <w:abstractNumId w:val="19"/>
  </w:num>
  <w:num w:numId="5" w16cid:durableId="1809080309">
    <w:abstractNumId w:val="16"/>
  </w:num>
  <w:num w:numId="6" w16cid:durableId="2000111282">
    <w:abstractNumId w:val="39"/>
  </w:num>
  <w:num w:numId="7" w16cid:durableId="1182233948">
    <w:abstractNumId w:val="8"/>
  </w:num>
  <w:num w:numId="8" w16cid:durableId="653609088">
    <w:abstractNumId w:val="31"/>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9"/>
  </w:num>
  <w:num w:numId="14" w16cid:durableId="1517694182">
    <w:abstractNumId w:val="12"/>
  </w:num>
  <w:num w:numId="15" w16cid:durableId="815797891">
    <w:abstractNumId w:val="35"/>
  </w:num>
  <w:num w:numId="16" w16cid:durableId="251282083">
    <w:abstractNumId w:val="6"/>
  </w:num>
  <w:num w:numId="17" w16cid:durableId="1185630687">
    <w:abstractNumId w:val="20"/>
  </w:num>
  <w:num w:numId="18" w16cid:durableId="938754063">
    <w:abstractNumId w:val="27"/>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8"/>
  </w:num>
  <w:num w:numId="25" w16cid:durableId="1989938239">
    <w:abstractNumId w:val="17"/>
  </w:num>
  <w:num w:numId="26" w16cid:durableId="1967273059">
    <w:abstractNumId w:val="33"/>
  </w:num>
  <w:num w:numId="27" w16cid:durableId="1065761970">
    <w:abstractNumId w:val="13"/>
  </w:num>
  <w:num w:numId="28" w16cid:durableId="45295993">
    <w:abstractNumId w:val="4"/>
  </w:num>
  <w:num w:numId="29" w16cid:durableId="698167985">
    <w:abstractNumId w:val="21"/>
  </w:num>
  <w:num w:numId="30" w16cid:durableId="1709643113">
    <w:abstractNumId w:val="34"/>
  </w:num>
  <w:num w:numId="31" w16cid:durableId="934480746">
    <w:abstractNumId w:val="30"/>
  </w:num>
  <w:num w:numId="32" w16cid:durableId="541211672">
    <w:abstractNumId w:val="11"/>
  </w:num>
  <w:num w:numId="33" w16cid:durableId="1345130465">
    <w:abstractNumId w:val="26"/>
  </w:num>
  <w:num w:numId="34" w16cid:durableId="1757743752">
    <w:abstractNumId w:val="23"/>
  </w:num>
  <w:num w:numId="35" w16cid:durableId="83184206">
    <w:abstractNumId w:val="5"/>
  </w:num>
  <w:num w:numId="36" w16cid:durableId="1037505896">
    <w:abstractNumId w:val="38"/>
  </w:num>
  <w:num w:numId="37" w16cid:durableId="1162084678">
    <w:abstractNumId w:val="14"/>
  </w:num>
  <w:num w:numId="38" w16cid:durableId="247926190">
    <w:abstractNumId w:val="18"/>
  </w:num>
  <w:num w:numId="39" w16cid:durableId="129908336">
    <w:abstractNumId w:val="32"/>
  </w:num>
  <w:num w:numId="40" w16cid:durableId="344133499">
    <w:abstractNumId w:val="25"/>
  </w:num>
  <w:num w:numId="41" w16cid:durableId="5631787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9539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3292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352058">
    <w:abstractNumId w:val="6"/>
  </w:num>
  <w:num w:numId="45" w16cid:durableId="3097897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11C0"/>
    <w:rsid w:val="0006625E"/>
    <w:rsid w:val="00080F92"/>
    <w:rsid w:val="00082741"/>
    <w:rsid w:val="000840A1"/>
    <w:rsid w:val="0009182C"/>
    <w:rsid w:val="000974AD"/>
    <w:rsid w:val="000A0354"/>
    <w:rsid w:val="000A1EFD"/>
    <w:rsid w:val="000B48AC"/>
    <w:rsid w:val="000F4520"/>
    <w:rsid w:val="000F6AC8"/>
    <w:rsid w:val="00106C59"/>
    <w:rsid w:val="00121A07"/>
    <w:rsid w:val="00132D55"/>
    <w:rsid w:val="00134455"/>
    <w:rsid w:val="00162E82"/>
    <w:rsid w:val="00163E52"/>
    <w:rsid w:val="00165C18"/>
    <w:rsid w:val="0016622B"/>
    <w:rsid w:val="00183508"/>
    <w:rsid w:val="001873B5"/>
    <w:rsid w:val="001B1DFD"/>
    <w:rsid w:val="001C0A6D"/>
    <w:rsid w:val="001C230A"/>
    <w:rsid w:val="001C3868"/>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2F1886"/>
    <w:rsid w:val="00301A2A"/>
    <w:rsid w:val="00324282"/>
    <w:rsid w:val="00360412"/>
    <w:rsid w:val="00376A6A"/>
    <w:rsid w:val="00393013"/>
    <w:rsid w:val="00393310"/>
    <w:rsid w:val="003A30C8"/>
    <w:rsid w:val="003B3362"/>
    <w:rsid w:val="003B479F"/>
    <w:rsid w:val="003D4630"/>
    <w:rsid w:val="003E3690"/>
    <w:rsid w:val="00412204"/>
    <w:rsid w:val="0041423F"/>
    <w:rsid w:val="00425C1D"/>
    <w:rsid w:val="004506DA"/>
    <w:rsid w:val="00454C8D"/>
    <w:rsid w:val="0047175E"/>
    <w:rsid w:val="00477809"/>
    <w:rsid w:val="00483B3C"/>
    <w:rsid w:val="00483CF7"/>
    <w:rsid w:val="00497B73"/>
    <w:rsid w:val="004A15BA"/>
    <w:rsid w:val="004A2550"/>
    <w:rsid w:val="004B6622"/>
    <w:rsid w:val="004C0674"/>
    <w:rsid w:val="004C4D9C"/>
    <w:rsid w:val="004D7999"/>
    <w:rsid w:val="004E4DA5"/>
    <w:rsid w:val="004F3537"/>
    <w:rsid w:val="004F3B49"/>
    <w:rsid w:val="00515370"/>
    <w:rsid w:val="00525898"/>
    <w:rsid w:val="00545027"/>
    <w:rsid w:val="00555DAB"/>
    <w:rsid w:val="0055600F"/>
    <w:rsid w:val="00565615"/>
    <w:rsid w:val="005664CA"/>
    <w:rsid w:val="0058266E"/>
    <w:rsid w:val="0058688A"/>
    <w:rsid w:val="00590BCD"/>
    <w:rsid w:val="00593BAE"/>
    <w:rsid w:val="005A32E4"/>
    <w:rsid w:val="005A5292"/>
    <w:rsid w:val="005A732D"/>
    <w:rsid w:val="005B23B6"/>
    <w:rsid w:val="005C5563"/>
    <w:rsid w:val="005E11CE"/>
    <w:rsid w:val="005E7D95"/>
    <w:rsid w:val="005F4AAA"/>
    <w:rsid w:val="00604132"/>
    <w:rsid w:val="00604F1C"/>
    <w:rsid w:val="00613E95"/>
    <w:rsid w:val="00617ED5"/>
    <w:rsid w:val="00622A27"/>
    <w:rsid w:val="006409F9"/>
    <w:rsid w:val="0064287C"/>
    <w:rsid w:val="006440B6"/>
    <w:rsid w:val="00650F99"/>
    <w:rsid w:val="00653E86"/>
    <w:rsid w:val="0066572E"/>
    <w:rsid w:val="006753A9"/>
    <w:rsid w:val="00683740"/>
    <w:rsid w:val="006843AE"/>
    <w:rsid w:val="006964C0"/>
    <w:rsid w:val="006A40D0"/>
    <w:rsid w:val="006A592E"/>
    <w:rsid w:val="006A6CAF"/>
    <w:rsid w:val="006A6F49"/>
    <w:rsid w:val="006A7144"/>
    <w:rsid w:val="006B4CEC"/>
    <w:rsid w:val="006C60F3"/>
    <w:rsid w:val="006D50F3"/>
    <w:rsid w:val="006F0429"/>
    <w:rsid w:val="006F4B6C"/>
    <w:rsid w:val="006F6BBC"/>
    <w:rsid w:val="0070714C"/>
    <w:rsid w:val="00745807"/>
    <w:rsid w:val="00747464"/>
    <w:rsid w:val="00754FFE"/>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3747"/>
    <w:rsid w:val="00814DCE"/>
    <w:rsid w:val="00821BD0"/>
    <w:rsid w:val="00824097"/>
    <w:rsid w:val="00824181"/>
    <w:rsid w:val="0083144B"/>
    <w:rsid w:val="00842D95"/>
    <w:rsid w:val="00853611"/>
    <w:rsid w:val="0085420D"/>
    <w:rsid w:val="008550EF"/>
    <w:rsid w:val="008617A6"/>
    <w:rsid w:val="00863A25"/>
    <w:rsid w:val="008641C8"/>
    <w:rsid w:val="008776EB"/>
    <w:rsid w:val="0089637D"/>
    <w:rsid w:val="008B0045"/>
    <w:rsid w:val="008B0889"/>
    <w:rsid w:val="008B67EB"/>
    <w:rsid w:val="008E0DEF"/>
    <w:rsid w:val="008E3636"/>
    <w:rsid w:val="00913BF3"/>
    <w:rsid w:val="00913C1E"/>
    <w:rsid w:val="00917950"/>
    <w:rsid w:val="00917F2F"/>
    <w:rsid w:val="00921645"/>
    <w:rsid w:val="00931D14"/>
    <w:rsid w:val="009331A5"/>
    <w:rsid w:val="00933A89"/>
    <w:rsid w:val="00944F57"/>
    <w:rsid w:val="009477D5"/>
    <w:rsid w:val="009547F2"/>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6234"/>
    <w:rsid w:val="00A72869"/>
    <w:rsid w:val="00A74A1D"/>
    <w:rsid w:val="00A942E0"/>
    <w:rsid w:val="00AA0407"/>
    <w:rsid w:val="00AA4E4E"/>
    <w:rsid w:val="00AC2BAD"/>
    <w:rsid w:val="00AE1B0F"/>
    <w:rsid w:val="00AE2597"/>
    <w:rsid w:val="00AE3F10"/>
    <w:rsid w:val="00AF0CEC"/>
    <w:rsid w:val="00AF37E4"/>
    <w:rsid w:val="00B02BDD"/>
    <w:rsid w:val="00B033A1"/>
    <w:rsid w:val="00B056D9"/>
    <w:rsid w:val="00B10447"/>
    <w:rsid w:val="00B17D1F"/>
    <w:rsid w:val="00B2161A"/>
    <w:rsid w:val="00B4648A"/>
    <w:rsid w:val="00B6696C"/>
    <w:rsid w:val="00B75824"/>
    <w:rsid w:val="00B806AC"/>
    <w:rsid w:val="00B90B9D"/>
    <w:rsid w:val="00B91191"/>
    <w:rsid w:val="00B91D8E"/>
    <w:rsid w:val="00B93993"/>
    <w:rsid w:val="00BA675E"/>
    <w:rsid w:val="00BB5902"/>
    <w:rsid w:val="00BC19D9"/>
    <w:rsid w:val="00BD37BE"/>
    <w:rsid w:val="00BF33B2"/>
    <w:rsid w:val="00BF7310"/>
    <w:rsid w:val="00C04C07"/>
    <w:rsid w:val="00C1382E"/>
    <w:rsid w:val="00C40F2C"/>
    <w:rsid w:val="00C6690B"/>
    <w:rsid w:val="00CA2777"/>
    <w:rsid w:val="00CA3AA8"/>
    <w:rsid w:val="00CA55FD"/>
    <w:rsid w:val="00CB0CA0"/>
    <w:rsid w:val="00CC4274"/>
    <w:rsid w:val="00CC5359"/>
    <w:rsid w:val="00CD3889"/>
    <w:rsid w:val="00CF64FA"/>
    <w:rsid w:val="00D05BCC"/>
    <w:rsid w:val="00D13990"/>
    <w:rsid w:val="00D222B7"/>
    <w:rsid w:val="00D5166A"/>
    <w:rsid w:val="00D56F83"/>
    <w:rsid w:val="00D809FF"/>
    <w:rsid w:val="00D82E91"/>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72BD0"/>
    <w:rsid w:val="00E77756"/>
    <w:rsid w:val="00E8252A"/>
    <w:rsid w:val="00E82BFD"/>
    <w:rsid w:val="00EB1162"/>
    <w:rsid w:val="00EB3ACF"/>
    <w:rsid w:val="00EC03C5"/>
    <w:rsid w:val="00EC64BF"/>
    <w:rsid w:val="00EC6C48"/>
    <w:rsid w:val="00ED4C58"/>
    <w:rsid w:val="00ED518E"/>
    <w:rsid w:val="00EE61D0"/>
    <w:rsid w:val="00EF1BD7"/>
    <w:rsid w:val="00F0294F"/>
    <w:rsid w:val="00F06E69"/>
    <w:rsid w:val="00F07B09"/>
    <w:rsid w:val="00F52F31"/>
    <w:rsid w:val="00F54F60"/>
    <w:rsid w:val="00F62F2B"/>
    <w:rsid w:val="00F659FE"/>
    <w:rsid w:val="00F66FEE"/>
    <w:rsid w:val="00F72E41"/>
    <w:rsid w:val="00F8544E"/>
    <w:rsid w:val="00F86EE8"/>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paragraph" w:customStyle="1" w:styleId="IASubttulo3">
    <w:name w:val="IA  Subtítulo 3"/>
    <w:basedOn w:val="List"/>
    <w:link w:val="IASubttulo3Char"/>
    <w:qFormat/>
    <w:rsid w:val="004E4DA5"/>
    <w:pPr>
      <w:numPr>
        <w:numId w:val="39"/>
      </w:numPr>
      <w:suppressAutoHyphens/>
      <w:spacing w:after="240" w:line="240" w:lineRule="auto"/>
      <w:contextualSpacing w:val="0"/>
    </w:pPr>
    <w:rPr>
      <w:rFonts w:ascii="Cambria" w:eastAsiaTheme="minorHAnsi" w:hAnsi="Cambria" w:cstheme="minorBidi"/>
      <w:b/>
      <w:color w:val="000000"/>
      <w:sz w:val="20"/>
    </w:rPr>
  </w:style>
  <w:style w:type="character" w:customStyle="1" w:styleId="IASubttulo3Char">
    <w:name w:val="IA  Subtítulo 3 Char"/>
    <w:basedOn w:val="DefaultParagraphFont"/>
    <w:link w:val="IASubttulo3"/>
    <w:rsid w:val="004E4DA5"/>
    <w:rPr>
      <w:rFonts w:ascii="Cambria" w:eastAsiaTheme="minorHAnsi" w:hAnsi="Cambria" w:cstheme="minorBidi"/>
      <w:b/>
      <w:color w:val="000000"/>
      <w:szCs w:val="22"/>
      <w:lang w:val="en-US" w:eastAsia="en-US"/>
    </w:rPr>
  </w:style>
  <w:style w:type="paragraph" w:styleId="List">
    <w:name w:val="List"/>
    <w:basedOn w:val="Normal"/>
    <w:uiPriority w:val="99"/>
    <w:semiHidden/>
    <w:unhideWhenUsed/>
    <w:rsid w:val="004E4DA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1043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s/cidh/decisiones/2020/cosa595-09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s://www.oas.org/es/cidh/docs/anual/2021/capitulos/IA2021cap2-es.pdf" TargetMode="External"/><Relationship Id="rId1"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